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C7" w:rsidRDefault="00DF46C7" w:rsidP="00C75977">
      <w:pPr>
        <w:autoSpaceDE w:val="0"/>
        <w:autoSpaceDN w:val="0"/>
        <w:adjustRightInd w:val="0"/>
        <w:spacing w:after="0" w:line="240" w:lineRule="auto"/>
        <w:jc w:val="both"/>
        <w:rPr>
          <w:rFonts w:ascii="Times New Roman" w:hAnsi="Times New Roman" w:cs="Times New Roman"/>
          <w:b/>
          <w:bCs/>
          <w:i/>
          <w:iCs/>
          <w:sz w:val="28"/>
          <w:szCs w:val="28"/>
          <w:lang w:eastAsia="cs-CZ"/>
        </w:rPr>
      </w:pPr>
      <w:bookmarkStart w:id="0" w:name="_GoBack"/>
      <w:bookmarkEnd w:id="0"/>
      <w:r>
        <w:rPr>
          <w:rFonts w:ascii="Times New Roman" w:hAnsi="Times New Roman" w:cs="Times New Roman"/>
          <w:b/>
          <w:bCs/>
          <w:i/>
          <w:iCs/>
          <w:sz w:val="28"/>
          <w:szCs w:val="28"/>
          <w:lang w:eastAsia="cs-CZ"/>
        </w:rPr>
        <w:t>Seznam zakázaných látek a metod pro rok 2015</w:t>
      </w:r>
    </w:p>
    <w:p w:rsidR="00DF46C7" w:rsidRDefault="00DF46C7" w:rsidP="00C75977">
      <w:pPr>
        <w:autoSpaceDE w:val="0"/>
        <w:autoSpaceDN w:val="0"/>
        <w:adjustRightInd w:val="0"/>
        <w:spacing w:after="0" w:line="240" w:lineRule="auto"/>
        <w:jc w:val="both"/>
        <w:rPr>
          <w:rFonts w:ascii="Times New Roman" w:hAnsi="Times New Roman" w:cs="Times New Roman"/>
          <w:b/>
          <w:bCs/>
          <w:i/>
          <w:iCs/>
          <w:sz w:val="28"/>
          <w:szCs w:val="28"/>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b/>
          <w:bCs/>
          <w:i/>
          <w:iCs/>
          <w:sz w:val="24"/>
          <w:szCs w:val="24"/>
          <w:lang w:eastAsia="cs-CZ"/>
        </w:rPr>
      </w:pPr>
      <w:r>
        <w:rPr>
          <w:rFonts w:ascii="Times New Roman" w:hAnsi="Times New Roman" w:cs="Times New Roman"/>
          <w:b/>
          <w:bCs/>
          <w:i/>
          <w:iCs/>
          <w:sz w:val="24"/>
          <w:szCs w:val="24"/>
          <w:lang w:eastAsia="cs-CZ"/>
        </w:rPr>
        <w:t xml:space="preserve">Souhrn hlavních změn a vysvětlivky </w:t>
      </w:r>
    </w:p>
    <w:p w:rsidR="00DF46C7" w:rsidRDefault="00DF46C7" w:rsidP="00C75977">
      <w:pPr>
        <w:autoSpaceDE w:val="0"/>
        <w:autoSpaceDN w:val="0"/>
        <w:adjustRightInd w:val="0"/>
        <w:spacing w:after="0" w:line="240" w:lineRule="auto"/>
        <w:jc w:val="both"/>
        <w:rPr>
          <w:rFonts w:ascii="Times New Roman" w:hAnsi="Times New Roman" w:cs="Times New Roman"/>
          <w:b/>
          <w:bCs/>
          <w:i/>
          <w:iCs/>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LÁTKY A METODY ZAKÁZÁNÉ STÁLE (PŘI SOUTĚŽI  I MIMO SOUTĚŽ) </w:t>
      </w:r>
    </w:p>
    <w:p w:rsidR="00DF46C7" w:rsidRDefault="00DF46C7" w:rsidP="00C75977">
      <w:pPr>
        <w:pStyle w:val="Default"/>
        <w:jc w:val="both"/>
        <w:rPr>
          <w:rFonts w:ascii="Times New Roman" w:hAnsi="Times New Roman" w:cs="Times New Roman"/>
          <w:b/>
          <w:bCs/>
          <w:color w:val="auto"/>
          <w:sz w:val="22"/>
          <w:szCs w:val="22"/>
          <w:lang w:eastAsia="cs-CZ"/>
        </w:rPr>
      </w:pPr>
    </w:p>
    <w:p w:rsidR="00DF46C7" w:rsidRDefault="00DF46C7" w:rsidP="00C75977">
      <w:pPr>
        <w:pStyle w:val="Default"/>
        <w:jc w:val="both"/>
        <w:rPr>
          <w:rFonts w:ascii="Times New Roman" w:hAnsi="Times New Roman" w:cs="Times New Roman"/>
          <w:b/>
          <w:bCs/>
          <w:color w:val="auto"/>
          <w:sz w:val="22"/>
          <w:szCs w:val="22"/>
          <w:lang w:eastAsia="cs-CZ"/>
        </w:rPr>
      </w:pPr>
      <w:r>
        <w:rPr>
          <w:rFonts w:ascii="Times New Roman" w:hAnsi="Times New Roman" w:cs="Times New Roman"/>
          <w:b/>
          <w:bCs/>
          <w:color w:val="auto"/>
          <w:sz w:val="22"/>
          <w:szCs w:val="22"/>
          <w:lang w:eastAsia="cs-CZ"/>
        </w:rPr>
        <w:t xml:space="preserve">ZAKÁZANÉ LÁTKY </w:t>
      </w:r>
    </w:p>
    <w:p w:rsidR="00DF46C7" w:rsidRDefault="00DF46C7" w:rsidP="00C75977">
      <w:pPr>
        <w:autoSpaceDE w:val="0"/>
        <w:autoSpaceDN w:val="0"/>
        <w:spacing w:after="0" w:line="240" w:lineRule="auto"/>
        <w:rPr>
          <w:rFonts w:ascii="Verdana" w:hAnsi="Verdana" w:cs="Verdana"/>
          <w:color w:val="000000"/>
          <w:lang w:eastAsia="cs-CZ"/>
        </w:rPr>
      </w:pP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S1. Anabolické látky</w:t>
      </w:r>
    </w:p>
    <w:p w:rsidR="00DF46C7" w:rsidRDefault="00DF46C7" w:rsidP="00C75977">
      <w:pPr>
        <w:pStyle w:val="Default"/>
        <w:jc w:val="both"/>
        <w:rPr>
          <w:rFonts w:ascii="Times New Roman" w:hAnsi="Times New Roman" w:cs="Times New Roman"/>
          <w:b/>
          <w:bCs/>
          <w:color w:val="auto"/>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Změny byly provedeny, aby vyjadřovaly platné názvosloví. </w:t>
      </w:r>
    </w:p>
    <w:p w:rsidR="00DF46C7" w:rsidRDefault="00DF46C7" w:rsidP="00C75977">
      <w:pPr>
        <w:pStyle w:val="Default"/>
        <w:rPr>
          <w:rFonts w:ascii="Times New Roman" w:hAnsi="Times New Roman" w:cs="Times New Roman"/>
          <w:color w:val="auto"/>
          <w:lang w:eastAsia="cs-CZ"/>
        </w:rPr>
      </w:pPr>
      <w:r>
        <w:rPr>
          <w:rFonts w:ascii="Times New Roman" w:hAnsi="Times New Roman" w:cs="Times New Roman"/>
          <w:color w:val="auto"/>
          <w:lang w:eastAsia="cs-CZ"/>
        </w:rPr>
        <w:sym w:font="Symbol" w:char="F0B7"/>
      </w:r>
      <w:r>
        <w:rPr>
          <w:rFonts w:ascii="Times New Roman" w:hAnsi="Times New Roman" w:cs="Times New Roman"/>
          <w:color w:val="auto"/>
          <w:lang w:eastAsia="cs-CZ"/>
        </w:rPr>
        <w:t xml:space="preserve"> 5β-androstan-3α,17β-diol byl přidán mezi příklady metabolitů testosteronu.</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S2. Peptidové hormony, růstové faktory, příbuzné látky a mimetika</w:t>
      </w:r>
    </w:p>
    <w:p w:rsidR="00DF46C7" w:rsidRDefault="00DF46C7" w:rsidP="00C75977">
      <w:pPr>
        <w:pStyle w:val="Default"/>
        <w:jc w:val="both"/>
        <w:rPr>
          <w:rFonts w:ascii="Times New Roman" w:hAnsi="Times New Roman" w:cs="Times New Roman"/>
          <w:b/>
          <w:bCs/>
          <w:color w:val="auto"/>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Změnil se název této sekce: Byla přidána mimetika s ohledem na skutečnost, že do této části syntetické analogy též spadají.</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Upozorňuje se, že všechny látky, uvedené  jako příklady v této revidované části seznamu zakázaných látek pro rok 2015, byly již zakázané v předchozím platném seznamu.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ESA(prostředky stimulující erytropoézu) sub-sekce byla rozšířena o ne-erytropoietické agonisty EPO-receptorů.</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Navíc pro subsekci obsahující stabilizátory HIF(hypoxii vyvolávající faktory) byl vytvořen samostatný odstavec, který zdůrazní rostoucí význam těchto léků a specificky  identifikuje HIF aktivátory xenonu a argonu. Za zmínku stojí, že kyanokobalamin (vitamin B12) není zakázán.</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Byly nyní stanoveny příklady uvolňujících faktorů choriových gonadotropinů (CG) a luteinizačního hormonu (LH).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Jako příklad byl přidán uvolňující faktor Kortikotrofinu.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Uvolňující faktory růstového hormonu byly přesněji kategorizovány a několik jejich příkladů bylo přidáno pro ilustraci kvůli jejich jiným farmakologickým vlastnostem.</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IGF-1 byla přesunut do jiné sekce růstových faktorů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Za zmínku stojí, že plasma vyrobená z krevních destiček není zakázaná.</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w:t>
      </w: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 xml:space="preserve">S4. Hormonální a metabolické modulátory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Trimetazidin byl původně součástí skupiny S6.b založené na podobnosti jeho chemické struktury s některým z uvedených stimulantů. Byl přesunut do nově vytvořené sub sekce S4.5.c, protože  je farmakologicky klasifikován jako modulátor srdečního metabolismu.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AMPK aktivátory byly znovu klasifikovány, aby vyjádřily aktuální názvosloví.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w:t>
      </w: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 xml:space="preserve">S5. Diuretika a maskovací látky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Název a následující odstavce byly upraveny odstraněním slova "ostatní", aby pojem diuretika lépe odrážel fakt, že nejsou jen maskovací látkou, ale že můžou být též zneužita pro jiné účely, jako je jejich užití zejména pro rychlé zhubnutí.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Poslední odstavec byl pro lepší srozumitelnost přeformulován. Zásady a postupy uvedené v předchozí verzi Seznamu zakázaných látek zůstávají nezměněny.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pStyle w:val="Default"/>
        <w:jc w:val="both"/>
        <w:rPr>
          <w:rFonts w:ascii="Times New Roman" w:hAnsi="Times New Roman" w:cs="Times New Roman"/>
          <w:b/>
          <w:bCs/>
          <w:color w:val="auto"/>
          <w:sz w:val="22"/>
          <w:szCs w:val="22"/>
          <w:lang w:eastAsia="cs-CZ"/>
        </w:rPr>
      </w:pPr>
      <w:r>
        <w:rPr>
          <w:rFonts w:ascii="Times New Roman" w:hAnsi="Times New Roman" w:cs="Times New Roman"/>
          <w:b/>
          <w:bCs/>
          <w:color w:val="auto"/>
          <w:sz w:val="22"/>
          <w:szCs w:val="22"/>
          <w:lang w:eastAsia="cs-CZ"/>
        </w:rPr>
        <w:lastRenderedPageBreak/>
        <w:t xml:space="preserve">ZAKÁZANÉ METODY </w:t>
      </w:r>
    </w:p>
    <w:p w:rsidR="00DF46C7" w:rsidRDefault="00DF46C7" w:rsidP="00C75977">
      <w:pPr>
        <w:pStyle w:val="Default"/>
        <w:jc w:val="both"/>
        <w:rPr>
          <w:rFonts w:ascii="Times New Roman" w:hAnsi="Times New Roman" w:cs="Times New Roman"/>
          <w:b/>
          <w:bCs/>
          <w:color w:val="auto"/>
          <w:sz w:val="22"/>
          <w:szCs w:val="22"/>
          <w:lang w:eastAsia="cs-CZ"/>
        </w:rPr>
      </w:pP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 xml:space="preserve">M2. Chemická a fyzikální manipulace </w:t>
      </w:r>
    </w:p>
    <w:p w:rsidR="00DF46C7" w:rsidRDefault="00DF46C7" w:rsidP="00C75977">
      <w:pPr>
        <w:pStyle w:val="Default"/>
        <w:jc w:val="both"/>
        <w:rPr>
          <w:rFonts w:ascii="Times New Roman" w:hAnsi="Times New Roman" w:cs="Times New Roman"/>
          <w:b/>
          <w:bCs/>
          <w:color w:val="auto"/>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Byl přidán termín "chirurgické zákroky" do věty, která  popisuje situaci nezbytně nutné aplikace  intravenózní infuse nebo injekce více než 50 ml během 6 hodin. </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autoSpaceDE w:val="0"/>
        <w:autoSpaceDN w:val="0"/>
        <w:adjustRightInd w:val="0"/>
        <w:spacing w:after="0" w:line="240" w:lineRule="auto"/>
        <w:jc w:val="both"/>
        <w:rPr>
          <w:rFonts w:ascii="Times New Roman" w:hAnsi="Times New Roman" w:cs="Times New Roman"/>
          <w:b/>
          <w:bCs/>
          <w:sz w:val="24"/>
          <w:szCs w:val="24"/>
          <w:lang w:eastAsia="cs-CZ"/>
        </w:rPr>
      </w:pPr>
      <w:r>
        <w:rPr>
          <w:rFonts w:ascii="Times New Roman" w:hAnsi="Times New Roman" w:cs="Times New Roman"/>
          <w:b/>
          <w:bCs/>
          <w:sz w:val="24"/>
          <w:szCs w:val="24"/>
          <w:lang w:eastAsia="cs-CZ"/>
        </w:rPr>
        <w:t xml:space="preserve">LÁTKY A  METODY ZAKÁZANÉ  PŘI SOUTĚŽI </w:t>
      </w:r>
    </w:p>
    <w:p w:rsidR="00DF46C7" w:rsidRDefault="00DF46C7" w:rsidP="00C75977">
      <w:pPr>
        <w:autoSpaceDE w:val="0"/>
        <w:autoSpaceDN w:val="0"/>
        <w:spacing w:after="0" w:line="240" w:lineRule="auto"/>
        <w:rPr>
          <w:rFonts w:ascii="Verdana" w:hAnsi="Verdana" w:cs="Verdana"/>
          <w:color w:val="000000"/>
          <w:lang w:eastAsia="cs-CZ"/>
        </w:rPr>
      </w:pPr>
    </w:p>
    <w:p w:rsidR="00DF46C7" w:rsidRDefault="00DF46C7" w:rsidP="00C75977">
      <w:pPr>
        <w:pStyle w:val="Default"/>
        <w:jc w:val="both"/>
        <w:rPr>
          <w:rFonts w:ascii="Times New Roman" w:hAnsi="Times New Roman" w:cs="Times New Roman"/>
          <w:b/>
          <w:bCs/>
          <w:color w:val="auto"/>
          <w:u w:val="single"/>
          <w:lang w:eastAsia="cs-CZ"/>
        </w:rPr>
      </w:pPr>
      <w:r>
        <w:rPr>
          <w:rFonts w:ascii="Times New Roman" w:hAnsi="Times New Roman" w:cs="Times New Roman"/>
          <w:b/>
          <w:bCs/>
          <w:color w:val="auto"/>
          <w:u w:val="single"/>
          <w:lang w:eastAsia="cs-CZ"/>
        </w:rPr>
        <w:t>S6. Stimulancia</w:t>
      </w:r>
    </w:p>
    <w:p w:rsidR="00DF46C7" w:rsidRDefault="00DF46C7" w:rsidP="00C75977">
      <w:pPr>
        <w:pStyle w:val="Default"/>
        <w:jc w:val="both"/>
        <w:rPr>
          <w:rFonts w:ascii="Times New Roman" w:hAnsi="Times New Roman" w:cs="Times New Roman"/>
          <w:b/>
          <w:bCs/>
          <w:color w:val="auto"/>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Pro upřesnění lokální/oční deriváty imidazolu, byly zmíněny jako výjimky povoleného stimulancia. </w:t>
      </w:r>
    </w:p>
    <w:p w:rsidR="00DF46C7" w:rsidRDefault="00DF46C7" w:rsidP="00C75977">
      <w:pPr>
        <w:autoSpaceDE w:val="0"/>
        <w:autoSpaceDN w:val="0"/>
        <w:adjustRightInd w:val="0"/>
        <w:spacing w:after="0" w:line="240" w:lineRule="auto"/>
        <w:jc w:val="both"/>
        <w:rPr>
          <w:rFonts w:ascii="Verdana" w:hAnsi="Verdana" w:cs="Verdana"/>
          <w:color w:val="000000"/>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Fenmetrazin, zpočátku uveden v sekci S6.a, byl přesunut do sekce S6.b protože fenbutrazát (sekce S6.b) se může metabolizovat na fenmetrazin </w:t>
      </w:r>
      <w:r>
        <w:rPr>
          <w:rFonts w:ascii="Verdana" w:hAnsi="Verdana" w:cs="Verdana"/>
          <w:color w:val="000000"/>
          <w:lang w:eastAsia="cs-CZ"/>
        </w:rPr>
        <w:t>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Seznam nyní jasně stanoví celou skupinu derivátů phenethylaminu jako zakázanou, aby  upozornil na rostoucí počet nelegálních, designovaných  stimulantů odvozených od phenethylaminu.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Trimetazidin byl převeden do nově vytvořené sub sekce S4.5.c (viz výše). </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autoSpaceDE w:val="0"/>
        <w:autoSpaceDN w:val="0"/>
        <w:spacing w:after="0" w:line="240" w:lineRule="auto"/>
        <w:rPr>
          <w:rFonts w:ascii="Verdana" w:hAnsi="Verdana" w:cs="Verdana"/>
          <w:color w:val="000000"/>
          <w:lang w:eastAsia="cs-CZ"/>
        </w:rPr>
      </w:pPr>
      <w:r>
        <w:rPr>
          <w:rFonts w:ascii="Times New Roman" w:hAnsi="Times New Roman" w:cs="Times New Roman"/>
          <w:b/>
          <w:bCs/>
          <w:sz w:val="24"/>
          <w:szCs w:val="24"/>
          <w:u w:val="single"/>
          <w:lang w:eastAsia="cs-CZ"/>
        </w:rPr>
        <w:t>S9. Glukokortikoidy</w:t>
      </w:r>
      <w:r>
        <w:rPr>
          <w:rFonts w:ascii="Verdana" w:hAnsi="Verdana" w:cs="Verdana"/>
          <w:color w:val="000000"/>
          <w:lang w:eastAsia="cs-CZ"/>
        </w:rPr>
        <w:t xml:space="preserve">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Glukokortikosteroidy jsou popsány jako glukokortikoidy, aby lépe vyjádřily stávající názvosloví a použití. </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autoSpaceDE w:val="0"/>
        <w:autoSpaceDN w:val="0"/>
        <w:spacing w:after="0" w:line="240" w:lineRule="auto"/>
        <w:rPr>
          <w:rFonts w:ascii="Verdana" w:hAnsi="Verdana" w:cs="Verdana"/>
          <w:b/>
          <w:bCs/>
          <w:color w:val="000000"/>
          <w:lang w:eastAsia="cs-CZ"/>
        </w:rPr>
      </w:pPr>
      <w:r>
        <w:rPr>
          <w:rFonts w:ascii="Verdana" w:hAnsi="Verdana" w:cs="Verdana"/>
          <w:b/>
          <w:bCs/>
          <w:color w:val="000000"/>
          <w:lang w:eastAsia="cs-CZ"/>
        </w:rPr>
        <w:t xml:space="preserve">LÁTKY ZAKÁZANÉ V URČITÝCH SPORTECH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spacing w:after="0" w:line="240" w:lineRule="auto"/>
        <w:rPr>
          <w:rFonts w:ascii="Times New Roman" w:hAnsi="Times New Roman" w:cs="Times New Roman"/>
          <w:b/>
          <w:bCs/>
          <w:sz w:val="24"/>
          <w:szCs w:val="24"/>
          <w:u w:val="single"/>
          <w:lang w:eastAsia="cs-CZ"/>
        </w:rPr>
      </w:pPr>
      <w:r>
        <w:rPr>
          <w:rFonts w:ascii="Times New Roman" w:hAnsi="Times New Roman" w:cs="Times New Roman"/>
          <w:b/>
          <w:bCs/>
          <w:sz w:val="24"/>
          <w:szCs w:val="24"/>
          <w:u w:val="single"/>
          <w:lang w:eastAsia="cs-CZ"/>
        </w:rPr>
        <w:t>P1. Alkohol</w:t>
      </w:r>
    </w:p>
    <w:p w:rsidR="00DF46C7" w:rsidRDefault="00DF46C7" w:rsidP="00C75977">
      <w:pPr>
        <w:autoSpaceDE w:val="0"/>
        <w:autoSpaceDN w:val="0"/>
        <w:spacing w:after="0" w:line="240" w:lineRule="auto"/>
        <w:rPr>
          <w:rFonts w:ascii="Times New Roman" w:hAnsi="Times New Roman" w:cs="Times New Roman"/>
          <w:b/>
          <w:bCs/>
          <w:sz w:val="24"/>
          <w:szCs w:val="24"/>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Jako reakce na žádost Světové karatistické federace (WKF), bylo karate odebráno ze seznamu sportů, v nichž je zakázán alkohol.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t> </w:t>
      </w:r>
    </w:p>
    <w:p w:rsidR="00DF46C7" w:rsidRDefault="00DF46C7" w:rsidP="00C75977">
      <w:pPr>
        <w:autoSpaceDE w:val="0"/>
        <w:autoSpaceDN w:val="0"/>
        <w:spacing w:after="0" w:line="240" w:lineRule="auto"/>
        <w:rPr>
          <w:rFonts w:ascii="Times New Roman" w:hAnsi="Times New Roman" w:cs="Times New Roman"/>
          <w:b/>
          <w:bCs/>
          <w:sz w:val="24"/>
          <w:szCs w:val="24"/>
          <w:u w:val="single"/>
          <w:lang w:eastAsia="cs-CZ"/>
        </w:rPr>
      </w:pPr>
      <w:r>
        <w:rPr>
          <w:rFonts w:ascii="Times New Roman" w:hAnsi="Times New Roman" w:cs="Times New Roman"/>
          <w:b/>
          <w:bCs/>
          <w:sz w:val="24"/>
          <w:szCs w:val="24"/>
          <w:u w:val="single"/>
          <w:lang w:eastAsia="cs-CZ"/>
        </w:rPr>
        <w:t xml:space="preserve">P2. Beta-blokátory </w:t>
      </w:r>
    </w:p>
    <w:p w:rsidR="00DF46C7" w:rsidRDefault="00DF46C7" w:rsidP="00C75977">
      <w:pPr>
        <w:autoSpaceDE w:val="0"/>
        <w:autoSpaceDN w:val="0"/>
        <w:spacing w:after="0" w:line="240" w:lineRule="auto"/>
        <w:rPr>
          <w:rFonts w:ascii="Times New Roman" w:hAnsi="Times New Roman" w:cs="Times New Roman"/>
          <w:b/>
          <w:bCs/>
          <w:sz w:val="24"/>
          <w:szCs w:val="24"/>
          <w:u w:val="single"/>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Světová federace potápění (CMAS), byla na její žádost přidána do skupiny Mezinárodních federací, které zakazují používání beta-blokátorů při soutěži v určitých jejích disciplínách.</w:t>
      </w:r>
    </w:p>
    <w:p w:rsidR="00DF46C7" w:rsidRDefault="00DF46C7" w:rsidP="00C75977">
      <w:pPr>
        <w:autoSpaceDE w:val="0"/>
        <w:autoSpaceDN w:val="0"/>
        <w:spacing w:after="0" w:line="240" w:lineRule="auto"/>
        <w:rPr>
          <w:rFonts w:ascii="Verdana" w:hAnsi="Verdana" w:cs="Verdana"/>
          <w:color w:val="000000"/>
          <w:sz w:val="24"/>
          <w:szCs w:val="24"/>
          <w:lang w:eastAsia="cs-CZ"/>
        </w:rPr>
      </w:pPr>
      <w:r>
        <w:rPr>
          <w:rFonts w:ascii="Verdana" w:hAnsi="Verdana" w:cs="Verdana"/>
          <w:color w:val="000000"/>
          <w:lang w:eastAsia="cs-CZ"/>
        </w:rPr>
        <w:t> </w:t>
      </w:r>
    </w:p>
    <w:p w:rsidR="00DF46C7" w:rsidRDefault="00DF46C7" w:rsidP="00C75977">
      <w:pPr>
        <w:autoSpaceDE w:val="0"/>
        <w:autoSpaceDN w:val="0"/>
        <w:spacing w:after="0" w:line="240" w:lineRule="auto"/>
        <w:rPr>
          <w:rFonts w:ascii="Verdana" w:hAnsi="Verdana" w:cs="Verdana"/>
          <w:b/>
          <w:bCs/>
          <w:color w:val="000000"/>
          <w:lang w:eastAsia="cs-CZ"/>
        </w:rPr>
      </w:pPr>
      <w:r>
        <w:rPr>
          <w:rFonts w:ascii="Verdana" w:hAnsi="Verdana" w:cs="Verdana"/>
          <w:b/>
          <w:bCs/>
          <w:color w:val="000000"/>
          <w:lang w:eastAsia="cs-CZ"/>
        </w:rPr>
        <w:t xml:space="preserve">MONITOROVACÍ PROGRAM </w:t>
      </w:r>
    </w:p>
    <w:p w:rsidR="00DF46C7" w:rsidRDefault="00DF46C7" w:rsidP="00C75977">
      <w:pPr>
        <w:autoSpaceDE w:val="0"/>
        <w:autoSpaceDN w:val="0"/>
        <w:spacing w:after="0" w:line="240" w:lineRule="auto"/>
        <w:rPr>
          <w:rFonts w:ascii="Verdana" w:hAnsi="Verdana" w:cs="Verdana"/>
          <w:color w:val="000000"/>
          <w:sz w:val="24"/>
          <w:szCs w:val="24"/>
          <w:lang w:eastAsia="cs-CZ"/>
        </w:rPr>
      </w:pP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Jelikož dostatečný sběr dat vedl k jasnému závěru, v roce 2015 skončí monitorování pseudoefedrinu pod 150 mikrogramů / ml.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Telmisartan, atypický antagonista receptoru angiotensinu II se zjevnými vlastnostmi částečného agonisty PPARδ receptoru (zakázaného podle S4.5.b), byl přidán do monitorovacího programu s cílem posoudit zneužívání této látky.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r>
        <w:rPr>
          <w:rFonts w:ascii="Times New Roman" w:hAnsi="Times New Roman" w:cs="Times New Roman"/>
          <w:sz w:val="24"/>
          <w:szCs w:val="24"/>
          <w:lang w:eastAsia="cs-CZ"/>
        </w:rPr>
        <w:sym w:font="Symbol" w:char="F0B7"/>
      </w:r>
      <w:r>
        <w:rPr>
          <w:rFonts w:ascii="Times New Roman" w:hAnsi="Times New Roman" w:cs="Times New Roman"/>
          <w:sz w:val="24"/>
          <w:szCs w:val="24"/>
          <w:lang w:eastAsia="cs-CZ"/>
        </w:rPr>
        <w:t xml:space="preserve"> Meldonium, látka s možným dopadem na srdeční činnost, byla přidána do monitorovacího programu s cílem posoudit zneužívání této látky. </w:t>
      </w:r>
    </w:p>
    <w:p w:rsidR="00DF46C7" w:rsidRDefault="00DF46C7" w:rsidP="00C75977">
      <w:pPr>
        <w:autoSpaceDE w:val="0"/>
        <w:autoSpaceDN w:val="0"/>
        <w:adjustRightInd w:val="0"/>
        <w:spacing w:after="0" w:line="240" w:lineRule="auto"/>
        <w:jc w:val="both"/>
        <w:rPr>
          <w:rFonts w:ascii="Times New Roman" w:hAnsi="Times New Roman" w:cs="Times New Roman"/>
          <w:sz w:val="24"/>
          <w:szCs w:val="24"/>
          <w:lang w:eastAsia="cs-CZ"/>
        </w:rPr>
      </w:pPr>
    </w:p>
    <w:p w:rsidR="00DF46C7" w:rsidRDefault="00DF46C7" w:rsidP="00C75977"/>
    <w:p w:rsidR="00DF46C7" w:rsidRPr="001F2C4E" w:rsidRDefault="00DF46C7" w:rsidP="001F2C4E">
      <w:pPr>
        <w:shd w:val="clear" w:color="auto" w:fill="F9EDBE"/>
        <w:spacing w:after="90" w:line="240" w:lineRule="auto"/>
        <w:textAlignment w:val="top"/>
        <w:rPr>
          <w:rFonts w:ascii="Arial" w:hAnsi="Arial" w:cs="Arial"/>
          <w:vanish/>
          <w:color w:val="222222"/>
          <w:sz w:val="20"/>
          <w:szCs w:val="20"/>
          <w:lang w:eastAsia="cs-CZ"/>
        </w:rPr>
      </w:pPr>
      <w:r w:rsidRPr="001F2C4E">
        <w:rPr>
          <w:rFonts w:ascii="Arial" w:hAnsi="Arial" w:cs="Arial"/>
          <w:vanish/>
          <w:color w:val="222222"/>
          <w:sz w:val="20"/>
          <w:szCs w:val="20"/>
          <w:lang w:eastAsia="cs-CZ"/>
        </w:rPr>
        <w:t>Váš příspěvek poslouží ke zlepšení kvality překladu a může být anonymně zobrazen dalším uživatelům.</w:t>
      </w:r>
    </w:p>
    <w:p w:rsidR="00DF46C7" w:rsidRPr="001F2C4E" w:rsidRDefault="00DF46C7" w:rsidP="001F2C4E">
      <w:pPr>
        <w:shd w:val="clear" w:color="auto" w:fill="FFFFFF"/>
        <w:spacing w:after="0"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Přispět</w:t>
      </w:r>
    </w:p>
    <w:p w:rsidR="00DF46C7" w:rsidRPr="001F2C4E" w:rsidRDefault="00DF46C7" w:rsidP="001F2C4E">
      <w:pPr>
        <w:shd w:val="clear" w:color="auto" w:fill="FFFFFF"/>
        <w:spacing w:after="0"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Zavřít</w:t>
      </w:r>
    </w:p>
    <w:p w:rsidR="00DF46C7" w:rsidRPr="001F2C4E" w:rsidRDefault="00DF46C7" w:rsidP="001F2C4E">
      <w:pPr>
        <w:shd w:val="clear" w:color="auto" w:fill="F9EDBE"/>
        <w:spacing w:after="0" w:line="435" w:lineRule="atLeast"/>
        <w:jc w:val="center"/>
        <w:textAlignment w:val="top"/>
        <w:rPr>
          <w:rFonts w:ascii="Arial" w:hAnsi="Arial" w:cs="Arial"/>
          <w:vanish/>
          <w:color w:val="222222"/>
          <w:sz w:val="20"/>
          <w:szCs w:val="20"/>
          <w:lang w:eastAsia="cs-CZ"/>
        </w:rPr>
      </w:pPr>
      <w:r w:rsidRPr="001F2C4E">
        <w:rPr>
          <w:rFonts w:ascii="Arial" w:hAnsi="Arial" w:cs="Arial"/>
          <w:vanish/>
          <w:color w:val="222222"/>
          <w:sz w:val="20"/>
          <w:szCs w:val="20"/>
          <w:lang w:eastAsia="cs-CZ"/>
        </w:rPr>
        <w:t>Děkujeme vám za příspěvek.</w:t>
      </w:r>
    </w:p>
    <w:p w:rsidR="00DF46C7" w:rsidRPr="001F2C4E" w:rsidRDefault="00DF46C7" w:rsidP="001F2C4E">
      <w:pPr>
        <w:shd w:val="clear" w:color="auto" w:fill="FFFFFF"/>
        <w:spacing w:after="0"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 xml:space="preserve">Definice výrazu </w:t>
      </w:r>
      <w:r w:rsidRPr="001F2C4E">
        <w:rPr>
          <w:rFonts w:ascii="Arial" w:hAnsi="Arial" w:cs="Arial"/>
          <w:vanish/>
          <w:color w:val="222222"/>
          <w:sz w:val="24"/>
          <w:szCs w:val="24"/>
          <w:lang w:eastAsia="cs-CZ"/>
        </w:rPr>
        <w:t xml:space="preserve">The title of this section has been changed: Mimetics have been added to the title to reflect the fact that synthetic analogs are also prohibited under this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Please note that all the substances named as examples in this revised section of the 2015 Prohibited List where already considered prohibited under previous Prohibited Lists, as applicable.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The ESA sub-section has been expanded by adding the non-erythropoietic EPO-Receptor agonists.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In addition, the HIF stabilizer sub-section has been placed in a separate paragraph to highlight the growing importance of these drugs and to specifically identify HIF activators such as xenon and argon. Note that cyanocobalamin (vitamin B12) is not prohibited.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Examples of Chorionic Gonadotrophin (CG) and Luteinizing Hormone (LH) releasing factors have now been identified.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A Corticotrophin releasing factor has now been added as an example.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GH releasing factors have been divided in a more precise categorization and several examples of each have been added to illustrate their different pharmacological properties.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IGF-1 has been moved to the other growth factor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Note that Platelet Derived Plasma preparations are not prohibited.</w:t>
      </w:r>
    </w:p>
    <w:p w:rsidR="00DF46C7" w:rsidRPr="001F2C4E" w:rsidRDefault="00DF46C7" w:rsidP="001F2C4E">
      <w:pPr>
        <w:shd w:val="clear" w:color="auto" w:fill="FFFFFF"/>
        <w:spacing w:after="0" w:line="240" w:lineRule="auto"/>
        <w:textAlignment w:val="top"/>
        <w:rPr>
          <w:rFonts w:ascii="Arial" w:hAnsi="Arial" w:cs="Arial"/>
          <w:i/>
          <w:iCs/>
          <w:vanish/>
          <w:color w:val="777777"/>
          <w:sz w:val="20"/>
          <w:szCs w:val="20"/>
          <w:lang w:eastAsia="cs-CZ"/>
        </w:rPr>
      </w:pPr>
      <w:r w:rsidRPr="001F2C4E">
        <w:rPr>
          <w:rFonts w:ascii="Arial" w:hAnsi="Arial" w:cs="Arial"/>
          <w:i/>
          <w:iCs/>
          <w:vanish/>
          <w:color w:val="777777"/>
          <w:sz w:val="20"/>
          <w:szCs w:val="20"/>
          <w:lang w:eastAsia="cs-CZ"/>
        </w:rPr>
        <w:t>přídavné jméno</w:t>
      </w:r>
    </w:p>
    <w:p w:rsidR="00DF46C7" w:rsidRPr="001F2C4E" w:rsidRDefault="00DF46C7" w:rsidP="001F2C4E">
      <w:pPr>
        <w:shd w:val="clear" w:color="auto" w:fill="FFFFFF"/>
        <w:spacing w:after="0" w:line="240" w:lineRule="auto"/>
        <w:textAlignment w:val="top"/>
        <w:rPr>
          <w:rFonts w:ascii="Arial" w:hAnsi="Arial" w:cs="Arial"/>
          <w:vanish/>
          <w:color w:val="222222"/>
          <w:sz w:val="20"/>
          <w:szCs w:val="20"/>
          <w:lang w:eastAsia="cs-CZ"/>
        </w:rPr>
      </w:pPr>
      <w:r w:rsidRPr="001F2C4E">
        <w:rPr>
          <w:rFonts w:ascii="Arial" w:hAnsi="Arial" w:cs="Arial"/>
          <w:vanish/>
          <w:color w:val="222222"/>
          <w:sz w:val="20"/>
          <w:szCs w:val="20"/>
          <w:lang w:eastAsia="cs-CZ"/>
        </w:rPr>
        <w:t>relating to, constituting, or habitually practicing mimesis.</w:t>
      </w:r>
    </w:p>
    <w:p w:rsidR="00DF46C7" w:rsidRPr="001F2C4E" w:rsidRDefault="00DF46C7" w:rsidP="001F2C4E">
      <w:pPr>
        <w:shd w:val="clear" w:color="auto" w:fill="FFFFFF"/>
        <w:spacing w:after="180"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"mimetic patterns in butterflies"</w:t>
      </w:r>
    </w:p>
    <w:p w:rsidR="00DF46C7" w:rsidRPr="001F2C4E" w:rsidRDefault="00DF46C7" w:rsidP="001F2C4E">
      <w:pPr>
        <w:shd w:val="clear" w:color="auto" w:fill="FFFFFF"/>
        <w:spacing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Další definice (1)</w:t>
      </w:r>
    </w:p>
    <w:p w:rsidR="00DF46C7" w:rsidRPr="001F2C4E" w:rsidRDefault="00DF46C7" w:rsidP="001F2C4E">
      <w:pPr>
        <w:shd w:val="clear" w:color="auto" w:fill="FFFFFF"/>
        <w:spacing w:after="0"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 xml:space="preserve">Synonyma výrazu </w:t>
      </w:r>
      <w:r w:rsidRPr="001F2C4E">
        <w:rPr>
          <w:rFonts w:ascii="Arial" w:hAnsi="Arial" w:cs="Arial"/>
          <w:vanish/>
          <w:color w:val="222222"/>
          <w:sz w:val="24"/>
          <w:szCs w:val="24"/>
          <w:lang w:eastAsia="cs-CZ"/>
        </w:rPr>
        <w:t xml:space="preserve">The title of this section has been changed: Mimetics have been added to the title to reflect the fact that synthetic analogs are also prohibited under this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Please note that all the substances named as examples in this revised section of the 2015 Prohibited List where already considered prohibited under previous Prohibited Lists, as applicable.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The ESA sub-section has been expanded by adding the non-erythropoietic EPO-Receptor agonists.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In addition, the HIF stabilizer sub-section has been placed in a separate paragraph to highlight the growing importance of these drugs and to specifically identify HIF activators such as xenon and argon. Note that cyanocobalamin (vitamin B12) is not prohibited.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Examples of Chorionic Gonadotrophin (CG) and Luteinizing Hormone (LH) releasing factors have now been identified.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A Corticotrophin releasing factor has now been added as an example.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GH releasing factors have been divided in a more precise categorization and several examples of each have been added to illustrate their different pharmacological properties.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IGF-1 has been moved to the other growth factor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Note that Platelet Derived Plasma preparations are not prohibited.</w:t>
      </w:r>
    </w:p>
    <w:p w:rsidR="00DF46C7" w:rsidRPr="001F2C4E" w:rsidRDefault="00DF46C7" w:rsidP="001F2C4E">
      <w:pPr>
        <w:shd w:val="clear" w:color="auto" w:fill="FFFFFF"/>
        <w:spacing w:after="0" w:line="240" w:lineRule="auto"/>
        <w:textAlignment w:val="top"/>
        <w:rPr>
          <w:rFonts w:ascii="Arial" w:hAnsi="Arial" w:cs="Arial"/>
          <w:i/>
          <w:iCs/>
          <w:vanish/>
          <w:color w:val="777777"/>
          <w:sz w:val="20"/>
          <w:szCs w:val="20"/>
          <w:lang w:eastAsia="cs-CZ"/>
        </w:rPr>
      </w:pPr>
      <w:r w:rsidRPr="001F2C4E">
        <w:rPr>
          <w:rFonts w:ascii="Arial" w:hAnsi="Arial" w:cs="Arial"/>
          <w:i/>
          <w:iCs/>
          <w:vanish/>
          <w:color w:val="777777"/>
          <w:sz w:val="20"/>
          <w:szCs w:val="20"/>
          <w:lang w:eastAsia="cs-CZ"/>
        </w:rPr>
        <w:t>podstatné jméno</w:t>
      </w:r>
    </w:p>
    <w:p w:rsidR="00DF46C7" w:rsidRPr="001F2C4E" w:rsidRDefault="00DF46C7" w:rsidP="001F2C4E">
      <w:pPr>
        <w:shd w:val="clear" w:color="auto" w:fill="FFFFFF"/>
        <w:spacing w:after="180" w:line="240" w:lineRule="auto"/>
        <w:ind w:left="96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pantomime, mimer, dumb show</w:t>
      </w:r>
    </w:p>
    <w:p w:rsidR="00DF46C7" w:rsidRPr="001F2C4E" w:rsidRDefault="00DF46C7" w:rsidP="001F2C4E">
      <w:pPr>
        <w:numPr>
          <w:ilvl w:val="0"/>
          <w:numId w:val="1"/>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pantomime, charade, dumb show</w:t>
      </w:r>
    </w:p>
    <w:p w:rsidR="00DF46C7" w:rsidRPr="001F2C4E" w:rsidRDefault="00DF46C7" w:rsidP="001F2C4E">
      <w:pPr>
        <w:numPr>
          <w:ilvl w:val="0"/>
          <w:numId w:val="1"/>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mimer, mummer, pantomimist</w:t>
      </w:r>
    </w:p>
    <w:p w:rsidR="00DF46C7" w:rsidRPr="001F2C4E" w:rsidRDefault="00DF46C7" w:rsidP="001F2C4E">
      <w:pPr>
        <w:numPr>
          <w:ilvl w:val="0"/>
          <w:numId w:val="1"/>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dumb show, pantomime</w:t>
      </w:r>
    </w:p>
    <w:p w:rsidR="00DF46C7" w:rsidRPr="001F2C4E" w:rsidRDefault="00DF46C7" w:rsidP="001F2C4E">
      <w:pPr>
        <w:shd w:val="clear" w:color="auto" w:fill="FFFFFF"/>
        <w:spacing w:after="0" w:line="240" w:lineRule="auto"/>
        <w:textAlignment w:val="top"/>
        <w:rPr>
          <w:rFonts w:ascii="Arial" w:hAnsi="Arial" w:cs="Arial"/>
          <w:i/>
          <w:iCs/>
          <w:vanish/>
          <w:color w:val="777777"/>
          <w:sz w:val="20"/>
          <w:szCs w:val="20"/>
          <w:lang w:eastAsia="cs-CZ"/>
        </w:rPr>
      </w:pPr>
      <w:r w:rsidRPr="001F2C4E">
        <w:rPr>
          <w:rFonts w:ascii="Arial" w:hAnsi="Arial" w:cs="Arial"/>
          <w:i/>
          <w:iCs/>
          <w:vanish/>
          <w:color w:val="777777"/>
          <w:sz w:val="20"/>
          <w:szCs w:val="20"/>
          <w:lang w:eastAsia="cs-CZ"/>
        </w:rPr>
        <w:t>sloveso</w:t>
      </w:r>
    </w:p>
    <w:p w:rsidR="00DF46C7" w:rsidRPr="001F2C4E" w:rsidRDefault="00DF46C7" w:rsidP="001F2C4E">
      <w:pPr>
        <w:shd w:val="clear" w:color="auto" w:fill="FFFFFF"/>
        <w:spacing w:after="180" w:line="240" w:lineRule="auto"/>
        <w:ind w:left="96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act out, pantomime, mimic</w:t>
      </w:r>
    </w:p>
    <w:p w:rsidR="00DF46C7" w:rsidRPr="001F2C4E" w:rsidRDefault="00DF46C7" w:rsidP="001F2C4E">
      <w:pPr>
        <w:numPr>
          <w:ilvl w:val="0"/>
          <w:numId w:val="2"/>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act out, pantomime, gesture, simulate, represent</w:t>
      </w:r>
    </w:p>
    <w:p w:rsidR="00DF46C7" w:rsidRPr="001F2C4E" w:rsidRDefault="00DF46C7" w:rsidP="001F2C4E">
      <w:pPr>
        <w:numPr>
          <w:ilvl w:val="0"/>
          <w:numId w:val="2"/>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pantomime</w:t>
      </w:r>
    </w:p>
    <w:p w:rsidR="00DF46C7" w:rsidRPr="001F2C4E" w:rsidRDefault="00DF46C7" w:rsidP="001F2C4E">
      <w:pPr>
        <w:numPr>
          <w:ilvl w:val="0"/>
          <w:numId w:val="2"/>
        </w:numPr>
        <w:shd w:val="clear" w:color="auto" w:fill="FFFFFF"/>
        <w:spacing w:before="100" w:beforeAutospacing="1" w:after="100" w:afterAutospacing="1" w:line="240" w:lineRule="auto"/>
        <w:ind w:left="960" w:right="240"/>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mimic</w:t>
      </w:r>
    </w:p>
    <w:p w:rsidR="00DF46C7" w:rsidRPr="001F2C4E" w:rsidRDefault="00DF46C7" w:rsidP="001F2C4E">
      <w:pPr>
        <w:shd w:val="clear" w:color="auto" w:fill="FFFFFF"/>
        <w:spacing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Další synonyma (9)</w:t>
      </w:r>
    </w:p>
    <w:p w:rsidR="00DF46C7" w:rsidRPr="001F2C4E" w:rsidRDefault="00DF46C7" w:rsidP="001F2C4E">
      <w:pPr>
        <w:shd w:val="clear" w:color="auto" w:fill="FFFFFF"/>
        <w:spacing w:after="0"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 xml:space="preserve">Příklady pro výraz </w:t>
      </w:r>
      <w:r w:rsidRPr="001F2C4E">
        <w:rPr>
          <w:rFonts w:ascii="Arial" w:hAnsi="Arial" w:cs="Arial"/>
          <w:vanish/>
          <w:color w:val="222222"/>
          <w:sz w:val="24"/>
          <w:szCs w:val="24"/>
          <w:lang w:eastAsia="cs-CZ"/>
        </w:rPr>
        <w:t xml:space="preserve">The title of this section has been changed: Mimetics have been added to the title to reflect the fact that synthetic analogs are also prohibited under this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Please note that all the substances named as examples in this revised section of the 2015 Prohibited List where already considered prohibited under previous Prohibited Lists, as applicable.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The ESA sub-section has been expanded by adding the non-erythropoietic EPO-Receptor agonists.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In addition, the HIF stabilizer sub-section has been placed in a separate paragraph to highlight the growing importance of these drugs and to specifically identify HIF activators such as xenon and argon. Note that cyanocobalamin (vitamin B12) is not prohibited.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Examples of Chorionic Gonadotrophin (CG) and Luteinizing Hormone (LH) releasing factors have now been identified.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A Corticotrophin releasing factor has now been added as an example.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GH releasing factors have been divided in a more precise categorization and several examples of each have been added to illustrate their different pharmacological properties.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IGF-1 has been moved to the other growth factor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Note that Platelet Derived Plasma preparations are not prohibited.</w:t>
      </w:r>
    </w:p>
    <w:p w:rsidR="00DF46C7" w:rsidRPr="001F2C4E" w:rsidRDefault="00DF46C7" w:rsidP="001F2C4E">
      <w:pPr>
        <w:shd w:val="clear" w:color="auto" w:fill="FFFFFF"/>
        <w:spacing w:line="240" w:lineRule="auto"/>
        <w:textAlignment w:val="top"/>
        <w:rPr>
          <w:rFonts w:ascii="Arial" w:hAnsi="Arial" w:cs="Arial"/>
          <w:vanish/>
          <w:color w:val="777777"/>
          <w:sz w:val="20"/>
          <w:szCs w:val="20"/>
          <w:lang w:eastAsia="cs-CZ"/>
        </w:rPr>
      </w:pPr>
      <w:r w:rsidRPr="001F2C4E">
        <w:rPr>
          <w:rFonts w:ascii="Arial" w:hAnsi="Arial" w:cs="Arial"/>
          <w:vanish/>
          <w:color w:val="777777"/>
          <w:sz w:val="20"/>
          <w:szCs w:val="20"/>
          <w:lang w:eastAsia="cs-CZ"/>
        </w:rPr>
        <w:t>Další příklady (9)</w:t>
      </w:r>
    </w:p>
    <w:p w:rsidR="00DF46C7" w:rsidRPr="001F2C4E" w:rsidRDefault="00DF46C7" w:rsidP="001F2C4E">
      <w:pPr>
        <w:shd w:val="clear" w:color="auto" w:fill="FFFFFF"/>
        <w:spacing w:after="0"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Viz také</w:t>
      </w:r>
    </w:p>
    <w:p w:rsidR="00DF46C7" w:rsidRPr="001F2C4E" w:rsidRDefault="00DF46C7" w:rsidP="001F2C4E">
      <w:pPr>
        <w:shd w:val="clear" w:color="auto" w:fill="FFFFFF"/>
        <w:spacing w:line="240" w:lineRule="auto"/>
        <w:textAlignment w:val="top"/>
        <w:rPr>
          <w:rFonts w:ascii="Arial" w:hAnsi="Arial" w:cs="Arial"/>
          <w:vanish/>
          <w:color w:val="777777"/>
          <w:sz w:val="20"/>
          <w:szCs w:val="20"/>
          <w:lang w:eastAsia="cs-CZ"/>
        </w:rPr>
      </w:pPr>
      <w:r w:rsidRPr="001F2C4E">
        <w:rPr>
          <w:rFonts w:ascii="Arial" w:hAnsi="Arial" w:cs="Arial"/>
          <w:vanish/>
          <w:color w:val="222222"/>
          <w:sz w:val="20"/>
          <w:szCs w:val="20"/>
          <w:lang w:eastAsia="cs-CZ"/>
        </w:rPr>
        <w:t>mime</w:t>
      </w:r>
    </w:p>
    <w:p w:rsidR="00DF46C7" w:rsidRPr="001F2C4E" w:rsidRDefault="00DF46C7" w:rsidP="001F2C4E">
      <w:pPr>
        <w:shd w:val="clear" w:color="auto" w:fill="FFFFFF"/>
        <w:spacing w:line="240" w:lineRule="auto"/>
        <w:textAlignment w:val="top"/>
        <w:rPr>
          <w:rFonts w:ascii="Arial" w:hAnsi="Arial" w:cs="Arial"/>
          <w:vanish/>
          <w:color w:val="777777"/>
          <w:sz w:val="24"/>
          <w:szCs w:val="24"/>
          <w:lang w:eastAsia="cs-CZ"/>
        </w:rPr>
      </w:pPr>
      <w:r w:rsidRPr="001F2C4E">
        <w:rPr>
          <w:rFonts w:ascii="Arial" w:hAnsi="Arial" w:cs="Arial"/>
          <w:vanish/>
          <w:color w:val="777777"/>
          <w:sz w:val="24"/>
          <w:szCs w:val="24"/>
          <w:lang w:eastAsia="cs-CZ"/>
        </w:rPr>
        <w:t xml:space="preserve">Překlad výrazu </w:t>
      </w:r>
      <w:r w:rsidRPr="001F2C4E">
        <w:rPr>
          <w:rFonts w:ascii="Arial" w:hAnsi="Arial" w:cs="Arial"/>
          <w:vanish/>
          <w:color w:val="222222"/>
          <w:sz w:val="24"/>
          <w:szCs w:val="24"/>
          <w:lang w:eastAsia="cs-CZ"/>
        </w:rPr>
        <w:t xml:space="preserve">The title of this section has been changed: Mimetics have been added to the title to reflect the fact that synthetic analogs are also prohibited under this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Please note that all the substances named as examples in this revised section of the 2015 Prohibited List where already considered prohibited under previous Prohibited Lists, as applicable.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The ESA sub-section has been expanded by adding the non-erythropoietic EPO-Receptor agonists.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In addition, the HIF stabilizer sub-section has been placed in a separate paragraph to highlight the growing importance of these drugs and to specifically identify HIF activators such as xenon and argon. Note that cyanocobalamin (vitamin B12) is not prohibited.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Examples of Chorionic Gonadotrophin (CG) and Luteinizing Hormone (LH) releasing factors have now been identified.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A Corticotrophin releasing factor has now been added as an example.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GH releasing factors have been divided in a more precise categorization and several examples of each have been added to illustrate their different pharmacological properties.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IGF-1 has been moved to the other growth factor section. </w:t>
      </w:r>
      <w:r w:rsidRPr="001F2C4E">
        <w:rPr>
          <w:rFonts w:ascii="Arial" w:hAnsi="Arial" w:cs="Arial"/>
          <w:vanish/>
          <w:color w:val="222222"/>
          <w:sz w:val="24"/>
          <w:szCs w:val="24"/>
          <w:lang w:eastAsia="cs-CZ"/>
        </w:rPr>
        <w:sym w:font="Symbol" w:char="F0B7"/>
      </w:r>
      <w:r w:rsidRPr="001F2C4E">
        <w:rPr>
          <w:rFonts w:ascii="Arial" w:hAnsi="Arial" w:cs="Arial"/>
          <w:vanish/>
          <w:color w:val="222222"/>
          <w:sz w:val="24"/>
          <w:szCs w:val="24"/>
          <w:lang w:eastAsia="cs-CZ"/>
        </w:rPr>
        <w:t xml:space="preserve"> Note that Platelet Derived Plasma preparations are not prohibited.</w:t>
      </w:r>
    </w:p>
    <w:sectPr w:rsidR="00DF46C7" w:rsidRPr="001F2C4E" w:rsidSect="00B718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6675DA"/>
    <w:multiLevelType w:val="multilevel"/>
    <w:tmpl w:val="1F56761A"/>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FBD24A3"/>
    <w:multiLevelType w:val="multilevel"/>
    <w:tmpl w:val="96FCBB78"/>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o"/>
      <w:lvlJc w:val="left"/>
      <w:pPr>
        <w:tabs>
          <w:tab w:val="num" w:pos="1440"/>
        </w:tabs>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cs="Wingdings" w:hint="default"/>
        <w:sz w:val="20"/>
        <w:szCs w:val="20"/>
      </w:rPr>
    </w:lvl>
    <w:lvl w:ilvl="3" w:tentative="1">
      <w:start w:val="1"/>
      <w:numFmt w:val="bullet"/>
      <w:lvlText w:val=""/>
      <w:lvlJc w:val="left"/>
      <w:pPr>
        <w:tabs>
          <w:tab w:val="num" w:pos="2880"/>
        </w:tabs>
        <w:ind w:left="2880" w:hanging="360"/>
      </w:pPr>
      <w:rPr>
        <w:rFonts w:ascii="Wingdings" w:hAnsi="Wingdings" w:cs="Wingdings" w:hint="default"/>
        <w:sz w:val="20"/>
        <w:szCs w:val="20"/>
      </w:rPr>
    </w:lvl>
    <w:lvl w:ilvl="4" w:tentative="1">
      <w:start w:val="1"/>
      <w:numFmt w:val="bullet"/>
      <w:lvlText w:val=""/>
      <w:lvlJc w:val="left"/>
      <w:pPr>
        <w:tabs>
          <w:tab w:val="num" w:pos="3600"/>
        </w:tabs>
        <w:ind w:left="3600" w:hanging="360"/>
      </w:pPr>
      <w:rPr>
        <w:rFonts w:ascii="Wingdings" w:hAnsi="Wingdings" w:cs="Wingdings" w:hint="default"/>
        <w:sz w:val="20"/>
        <w:szCs w:val="20"/>
      </w:rPr>
    </w:lvl>
    <w:lvl w:ilvl="5" w:tentative="1">
      <w:start w:val="1"/>
      <w:numFmt w:val="bullet"/>
      <w:lvlText w:val=""/>
      <w:lvlJc w:val="left"/>
      <w:pPr>
        <w:tabs>
          <w:tab w:val="num" w:pos="4320"/>
        </w:tabs>
        <w:ind w:left="4320" w:hanging="360"/>
      </w:pPr>
      <w:rPr>
        <w:rFonts w:ascii="Wingdings" w:hAnsi="Wingdings" w:cs="Wingdings" w:hint="default"/>
        <w:sz w:val="20"/>
        <w:szCs w:val="20"/>
      </w:rPr>
    </w:lvl>
    <w:lvl w:ilvl="6" w:tentative="1">
      <w:start w:val="1"/>
      <w:numFmt w:val="bullet"/>
      <w:lvlText w:val=""/>
      <w:lvlJc w:val="left"/>
      <w:pPr>
        <w:tabs>
          <w:tab w:val="num" w:pos="5040"/>
        </w:tabs>
        <w:ind w:left="5040" w:hanging="360"/>
      </w:pPr>
      <w:rPr>
        <w:rFonts w:ascii="Wingdings" w:hAnsi="Wingdings" w:cs="Wingdings" w:hint="default"/>
        <w:sz w:val="20"/>
        <w:szCs w:val="20"/>
      </w:rPr>
    </w:lvl>
    <w:lvl w:ilvl="7" w:tentative="1">
      <w:start w:val="1"/>
      <w:numFmt w:val="bullet"/>
      <w:lvlText w:val=""/>
      <w:lvlJc w:val="left"/>
      <w:pPr>
        <w:tabs>
          <w:tab w:val="num" w:pos="5760"/>
        </w:tabs>
        <w:ind w:left="5760" w:hanging="360"/>
      </w:pPr>
      <w:rPr>
        <w:rFonts w:ascii="Wingdings" w:hAnsi="Wingdings" w:cs="Wingdings" w:hint="default"/>
        <w:sz w:val="20"/>
        <w:szCs w:val="20"/>
      </w:rPr>
    </w:lvl>
    <w:lvl w:ilvl="8" w:tentative="1">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C4E"/>
    <w:rsid w:val="0000403F"/>
    <w:rsid w:val="0002074D"/>
    <w:rsid w:val="00076AB2"/>
    <w:rsid w:val="00190F3F"/>
    <w:rsid w:val="001F2C4E"/>
    <w:rsid w:val="00233D3A"/>
    <w:rsid w:val="002861D4"/>
    <w:rsid w:val="00353552"/>
    <w:rsid w:val="00392696"/>
    <w:rsid w:val="003B51B2"/>
    <w:rsid w:val="003E78EA"/>
    <w:rsid w:val="00462D8F"/>
    <w:rsid w:val="0048517C"/>
    <w:rsid w:val="0052025A"/>
    <w:rsid w:val="00537E26"/>
    <w:rsid w:val="00561873"/>
    <w:rsid w:val="00576D83"/>
    <w:rsid w:val="005A1B5D"/>
    <w:rsid w:val="006F4105"/>
    <w:rsid w:val="00797276"/>
    <w:rsid w:val="00AB4358"/>
    <w:rsid w:val="00AC1303"/>
    <w:rsid w:val="00AE59F0"/>
    <w:rsid w:val="00B205E4"/>
    <w:rsid w:val="00B7185E"/>
    <w:rsid w:val="00C65274"/>
    <w:rsid w:val="00C75977"/>
    <w:rsid w:val="00D50EFD"/>
    <w:rsid w:val="00DF46C7"/>
    <w:rsid w:val="00E11983"/>
    <w:rsid w:val="00E559FF"/>
    <w:rsid w:val="00F10710"/>
    <w:rsid w:val="00F74BB7"/>
    <w:rsid w:val="00F837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8F19E4-C589-401B-B39C-8BE3BC9D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7185E"/>
    <w:pPr>
      <w:spacing w:after="200" w:line="276"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Zatekformule">
    <w:name w:val="HTML Top of Form"/>
    <w:basedOn w:val="Normln"/>
    <w:next w:val="Normln"/>
    <w:link w:val="z-ZatekformuleChar"/>
    <w:hidden/>
    <w:uiPriority w:val="99"/>
    <w:semiHidden/>
    <w:rsid w:val="001F2C4E"/>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1F2C4E"/>
    <w:rPr>
      <w:rFonts w:ascii="Arial" w:hAnsi="Arial" w:cs="Arial"/>
      <w:vanish/>
      <w:sz w:val="16"/>
      <w:szCs w:val="16"/>
      <w:lang w:eastAsia="cs-CZ"/>
    </w:rPr>
  </w:style>
  <w:style w:type="character" w:customStyle="1" w:styleId="hps">
    <w:name w:val="hps"/>
    <w:basedOn w:val="Standardnpsmoodstavce"/>
    <w:uiPriority w:val="99"/>
    <w:rsid w:val="001F2C4E"/>
  </w:style>
  <w:style w:type="character" w:customStyle="1" w:styleId="atn">
    <w:name w:val="atn"/>
    <w:basedOn w:val="Standardnpsmoodstavce"/>
    <w:uiPriority w:val="99"/>
    <w:rsid w:val="001F2C4E"/>
  </w:style>
  <w:style w:type="character" w:customStyle="1" w:styleId="gt-card-ttl-txt1">
    <w:name w:val="gt-card-ttl-txt1"/>
    <w:basedOn w:val="Standardnpsmoodstavce"/>
    <w:uiPriority w:val="99"/>
    <w:rsid w:val="001F2C4E"/>
    <w:rPr>
      <w:color w:val="222222"/>
    </w:rPr>
  </w:style>
  <w:style w:type="character" w:customStyle="1" w:styleId="cd-expand-label2">
    <w:name w:val="cd-expand-label2"/>
    <w:basedOn w:val="Standardnpsmoodstavce"/>
    <w:uiPriority w:val="99"/>
    <w:rsid w:val="001F2C4E"/>
  </w:style>
  <w:style w:type="character" w:customStyle="1" w:styleId="gt-syn-span1">
    <w:name w:val="gt-syn-span1"/>
    <w:basedOn w:val="Standardnpsmoodstavce"/>
    <w:uiPriority w:val="99"/>
    <w:rsid w:val="001F2C4E"/>
    <w:rPr>
      <w:color w:val="222222"/>
    </w:rPr>
  </w:style>
  <w:style w:type="character" w:customStyle="1" w:styleId="gt-cd-cl1">
    <w:name w:val="gt-cd-cl1"/>
    <w:basedOn w:val="Standardnpsmoodstavce"/>
    <w:uiPriority w:val="99"/>
    <w:rsid w:val="001F2C4E"/>
  </w:style>
  <w:style w:type="character" w:customStyle="1" w:styleId="gt-cd-pos1">
    <w:name w:val="gt-cd-pos1"/>
    <w:basedOn w:val="Standardnpsmoodstavce"/>
    <w:uiPriority w:val="99"/>
    <w:rsid w:val="001F2C4E"/>
    <w:rPr>
      <w:i/>
      <w:iCs/>
      <w:color w:val="777777"/>
    </w:rPr>
  </w:style>
  <w:style w:type="character" w:customStyle="1" w:styleId="gt-baf-back1">
    <w:name w:val="gt-baf-back1"/>
    <w:basedOn w:val="Standardnpsmoodstavce"/>
    <w:uiPriority w:val="99"/>
    <w:rsid w:val="001F2C4E"/>
  </w:style>
  <w:style w:type="character" w:customStyle="1" w:styleId="gt-ft-text1">
    <w:name w:val="gt-ft-text1"/>
    <w:basedOn w:val="Standardnpsmoodstavce"/>
    <w:uiPriority w:val="99"/>
    <w:rsid w:val="001F2C4E"/>
  </w:style>
  <w:style w:type="paragraph" w:styleId="z-Konecformule">
    <w:name w:val="HTML Bottom of Form"/>
    <w:basedOn w:val="Normln"/>
    <w:next w:val="Normln"/>
    <w:link w:val="z-KonecformuleChar"/>
    <w:hidden/>
    <w:uiPriority w:val="99"/>
    <w:semiHidden/>
    <w:rsid w:val="001F2C4E"/>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1F2C4E"/>
    <w:rPr>
      <w:rFonts w:ascii="Arial" w:hAnsi="Arial" w:cs="Arial"/>
      <w:vanish/>
      <w:sz w:val="16"/>
      <w:szCs w:val="16"/>
      <w:lang w:eastAsia="cs-CZ"/>
    </w:rPr>
  </w:style>
  <w:style w:type="paragraph" w:customStyle="1" w:styleId="Default">
    <w:name w:val="Default"/>
    <w:uiPriority w:val="99"/>
    <w:rsid w:val="00C75977"/>
    <w:pPr>
      <w:autoSpaceDE w:val="0"/>
      <w:autoSpaceDN w:val="0"/>
      <w:adjustRightInd w:val="0"/>
    </w:pPr>
    <w:rPr>
      <w:rFonts w:ascii="Verdana" w:hAnsi="Verdana" w:cs="Verdana"/>
      <w:color w:val="000000"/>
      <w:sz w:val="24"/>
      <w:szCs w:val="24"/>
      <w:lang w:eastAsia="en-US"/>
    </w:rPr>
  </w:style>
  <w:style w:type="paragraph" w:styleId="Textbubliny">
    <w:name w:val="Balloon Text"/>
    <w:basedOn w:val="Normln"/>
    <w:link w:val="TextbublinyChar"/>
    <w:uiPriority w:val="99"/>
    <w:semiHidden/>
    <w:rsid w:val="00190F3F"/>
    <w:rPr>
      <w:rFonts w:ascii="Tahoma" w:hAnsi="Tahoma" w:cs="Tahoma"/>
      <w:sz w:val="16"/>
      <w:szCs w:val="16"/>
    </w:rPr>
  </w:style>
  <w:style w:type="character" w:customStyle="1" w:styleId="TextbublinyChar">
    <w:name w:val="Text bubliny Char"/>
    <w:basedOn w:val="Standardnpsmoodstavce"/>
    <w:link w:val="Textbubliny"/>
    <w:uiPriority w:val="99"/>
    <w:semiHidden/>
    <w:rsid w:val="006B63DE"/>
    <w:rPr>
      <w:rFonts w:ascii="Times New Roman" w:hAnsi="Times New Roman"/>
      <w:sz w:val="0"/>
      <w:sz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4094">
      <w:marLeft w:val="0"/>
      <w:marRight w:val="0"/>
      <w:marTop w:val="0"/>
      <w:marBottom w:val="0"/>
      <w:divBdr>
        <w:top w:val="none" w:sz="0" w:space="0" w:color="auto"/>
        <w:left w:val="none" w:sz="0" w:space="0" w:color="auto"/>
        <w:bottom w:val="none" w:sz="0" w:space="0" w:color="auto"/>
        <w:right w:val="none" w:sz="0" w:space="0" w:color="auto"/>
      </w:divBdr>
      <w:divsChild>
        <w:div w:id="12734035">
          <w:marLeft w:val="0"/>
          <w:marRight w:val="0"/>
          <w:marTop w:val="0"/>
          <w:marBottom w:val="0"/>
          <w:divBdr>
            <w:top w:val="none" w:sz="0" w:space="0" w:color="auto"/>
            <w:left w:val="none" w:sz="0" w:space="0" w:color="auto"/>
            <w:bottom w:val="none" w:sz="0" w:space="0" w:color="auto"/>
            <w:right w:val="none" w:sz="0" w:space="0" w:color="auto"/>
          </w:divBdr>
          <w:divsChild>
            <w:div w:id="12734031">
              <w:marLeft w:val="0"/>
              <w:marRight w:val="0"/>
              <w:marTop w:val="0"/>
              <w:marBottom w:val="0"/>
              <w:divBdr>
                <w:top w:val="none" w:sz="0" w:space="0" w:color="auto"/>
                <w:left w:val="none" w:sz="0" w:space="0" w:color="auto"/>
                <w:bottom w:val="none" w:sz="0" w:space="0" w:color="auto"/>
                <w:right w:val="none" w:sz="0" w:space="0" w:color="auto"/>
              </w:divBdr>
              <w:divsChild>
                <w:div w:id="12734112">
                  <w:marLeft w:val="0"/>
                  <w:marRight w:val="0"/>
                  <w:marTop w:val="0"/>
                  <w:marBottom w:val="0"/>
                  <w:divBdr>
                    <w:top w:val="none" w:sz="0" w:space="0" w:color="auto"/>
                    <w:left w:val="none" w:sz="0" w:space="0" w:color="auto"/>
                    <w:bottom w:val="none" w:sz="0" w:space="0" w:color="auto"/>
                    <w:right w:val="none" w:sz="0" w:space="0" w:color="auto"/>
                  </w:divBdr>
                  <w:divsChild>
                    <w:div w:id="12734050">
                      <w:marLeft w:val="0"/>
                      <w:marRight w:val="0"/>
                      <w:marTop w:val="0"/>
                      <w:marBottom w:val="0"/>
                      <w:divBdr>
                        <w:top w:val="none" w:sz="0" w:space="0" w:color="auto"/>
                        <w:left w:val="none" w:sz="0" w:space="0" w:color="auto"/>
                        <w:bottom w:val="none" w:sz="0" w:space="0" w:color="auto"/>
                        <w:right w:val="none" w:sz="0" w:space="0" w:color="auto"/>
                      </w:divBdr>
                      <w:divsChild>
                        <w:div w:id="12734030">
                          <w:marLeft w:val="0"/>
                          <w:marRight w:val="0"/>
                          <w:marTop w:val="0"/>
                          <w:marBottom w:val="0"/>
                          <w:divBdr>
                            <w:top w:val="none" w:sz="0" w:space="0" w:color="auto"/>
                            <w:left w:val="none" w:sz="0" w:space="0" w:color="auto"/>
                            <w:bottom w:val="none" w:sz="0" w:space="0" w:color="auto"/>
                            <w:right w:val="none" w:sz="0" w:space="0" w:color="auto"/>
                          </w:divBdr>
                          <w:divsChild>
                            <w:div w:id="12734051">
                              <w:marLeft w:val="0"/>
                              <w:marRight w:val="0"/>
                              <w:marTop w:val="0"/>
                              <w:marBottom w:val="0"/>
                              <w:divBdr>
                                <w:top w:val="none" w:sz="0" w:space="0" w:color="auto"/>
                                <w:left w:val="none" w:sz="0" w:space="0" w:color="auto"/>
                                <w:bottom w:val="none" w:sz="0" w:space="0" w:color="auto"/>
                                <w:right w:val="none" w:sz="0" w:space="0" w:color="auto"/>
                              </w:divBdr>
                              <w:divsChild>
                                <w:div w:id="12734074">
                                  <w:marLeft w:val="0"/>
                                  <w:marRight w:val="0"/>
                                  <w:marTop w:val="0"/>
                                  <w:marBottom w:val="0"/>
                                  <w:divBdr>
                                    <w:top w:val="none" w:sz="0" w:space="0" w:color="auto"/>
                                    <w:left w:val="none" w:sz="0" w:space="0" w:color="auto"/>
                                    <w:bottom w:val="none" w:sz="0" w:space="0" w:color="auto"/>
                                    <w:right w:val="none" w:sz="0" w:space="0" w:color="auto"/>
                                  </w:divBdr>
                                  <w:divsChild>
                                    <w:div w:id="12734056">
                                      <w:marLeft w:val="60"/>
                                      <w:marRight w:val="0"/>
                                      <w:marTop w:val="0"/>
                                      <w:marBottom w:val="0"/>
                                      <w:divBdr>
                                        <w:top w:val="none" w:sz="0" w:space="0" w:color="auto"/>
                                        <w:left w:val="none" w:sz="0" w:space="0" w:color="auto"/>
                                        <w:bottom w:val="none" w:sz="0" w:space="0" w:color="auto"/>
                                        <w:right w:val="none" w:sz="0" w:space="0" w:color="auto"/>
                                      </w:divBdr>
                                      <w:divsChild>
                                        <w:div w:id="12734104">
                                          <w:marLeft w:val="0"/>
                                          <w:marRight w:val="0"/>
                                          <w:marTop w:val="0"/>
                                          <w:marBottom w:val="0"/>
                                          <w:divBdr>
                                            <w:top w:val="none" w:sz="0" w:space="0" w:color="auto"/>
                                            <w:left w:val="none" w:sz="0" w:space="0" w:color="auto"/>
                                            <w:bottom w:val="none" w:sz="0" w:space="0" w:color="auto"/>
                                            <w:right w:val="none" w:sz="0" w:space="0" w:color="auto"/>
                                          </w:divBdr>
                                          <w:divsChild>
                                            <w:div w:id="12734038">
                                              <w:marLeft w:val="0"/>
                                              <w:marRight w:val="0"/>
                                              <w:marTop w:val="0"/>
                                              <w:marBottom w:val="120"/>
                                              <w:divBdr>
                                                <w:top w:val="single" w:sz="6" w:space="0" w:color="F5F5F5"/>
                                                <w:left w:val="single" w:sz="6" w:space="0" w:color="F5F5F5"/>
                                                <w:bottom w:val="single" w:sz="6" w:space="0" w:color="F5F5F5"/>
                                                <w:right w:val="single" w:sz="6" w:space="0" w:color="F5F5F5"/>
                                              </w:divBdr>
                                              <w:divsChild>
                                                <w:div w:id="12734034">
                                                  <w:marLeft w:val="0"/>
                                                  <w:marRight w:val="0"/>
                                                  <w:marTop w:val="0"/>
                                                  <w:marBottom w:val="0"/>
                                                  <w:divBdr>
                                                    <w:top w:val="none" w:sz="0" w:space="0" w:color="auto"/>
                                                    <w:left w:val="none" w:sz="0" w:space="0" w:color="auto"/>
                                                    <w:bottom w:val="none" w:sz="0" w:space="0" w:color="auto"/>
                                                    <w:right w:val="none" w:sz="0" w:space="0" w:color="auto"/>
                                                  </w:divBdr>
                                                  <w:divsChild>
                                                    <w:div w:id="12734106">
                                                      <w:marLeft w:val="0"/>
                                                      <w:marRight w:val="0"/>
                                                      <w:marTop w:val="0"/>
                                                      <w:marBottom w:val="0"/>
                                                      <w:divBdr>
                                                        <w:top w:val="none" w:sz="0" w:space="0" w:color="auto"/>
                                                        <w:left w:val="none" w:sz="0" w:space="0" w:color="auto"/>
                                                        <w:bottom w:val="none" w:sz="0" w:space="0" w:color="auto"/>
                                                        <w:right w:val="none" w:sz="0" w:space="0" w:color="auto"/>
                                                      </w:divBdr>
                                                    </w:div>
                                                  </w:divsChild>
                                                </w:div>
                                                <w:div w:id="12734052">
                                                  <w:marLeft w:val="0"/>
                                                  <w:marRight w:val="0"/>
                                                  <w:marTop w:val="0"/>
                                                  <w:marBottom w:val="0"/>
                                                  <w:divBdr>
                                                    <w:top w:val="none" w:sz="0" w:space="0" w:color="auto"/>
                                                    <w:left w:val="none" w:sz="0" w:space="0" w:color="auto"/>
                                                    <w:bottom w:val="none" w:sz="0" w:space="0" w:color="auto"/>
                                                    <w:right w:val="none" w:sz="0" w:space="0" w:color="auto"/>
                                                  </w:divBdr>
                                                  <w:divsChild>
                                                    <w:div w:id="12734081">
                                                      <w:marLeft w:val="0"/>
                                                      <w:marRight w:val="0"/>
                                                      <w:marTop w:val="0"/>
                                                      <w:marBottom w:val="0"/>
                                                      <w:divBdr>
                                                        <w:top w:val="none" w:sz="0" w:space="0" w:color="auto"/>
                                                        <w:left w:val="none" w:sz="0" w:space="0" w:color="auto"/>
                                                        <w:bottom w:val="none" w:sz="0" w:space="0" w:color="auto"/>
                                                        <w:right w:val="none" w:sz="0" w:space="0" w:color="auto"/>
                                                      </w:divBdr>
                                                      <w:divsChild>
                                                        <w:div w:id="127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108">
                                                  <w:marLeft w:val="0"/>
                                                  <w:marRight w:val="0"/>
                                                  <w:marTop w:val="0"/>
                                                  <w:marBottom w:val="0"/>
                                                  <w:divBdr>
                                                    <w:top w:val="none" w:sz="0" w:space="0" w:color="auto"/>
                                                    <w:left w:val="none" w:sz="0" w:space="0" w:color="auto"/>
                                                    <w:bottom w:val="none" w:sz="0" w:space="0" w:color="auto"/>
                                                    <w:right w:val="none" w:sz="0" w:space="0" w:color="auto"/>
                                                  </w:divBdr>
                                                  <w:divsChild>
                                                    <w:div w:id="127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061">
                                              <w:marLeft w:val="0"/>
                                              <w:marRight w:val="0"/>
                                              <w:marTop w:val="0"/>
                                              <w:marBottom w:val="0"/>
                                              <w:divBdr>
                                                <w:top w:val="none" w:sz="0" w:space="0" w:color="auto"/>
                                                <w:left w:val="none" w:sz="0" w:space="0" w:color="auto"/>
                                                <w:bottom w:val="none" w:sz="0" w:space="0" w:color="auto"/>
                                                <w:right w:val="none" w:sz="0" w:space="0" w:color="auto"/>
                                              </w:divBdr>
                                              <w:divsChild>
                                                <w:div w:id="12734047">
                                                  <w:marLeft w:val="0"/>
                                                  <w:marRight w:val="0"/>
                                                  <w:marTop w:val="0"/>
                                                  <w:marBottom w:val="0"/>
                                                  <w:divBdr>
                                                    <w:top w:val="none" w:sz="0" w:space="0" w:color="auto"/>
                                                    <w:left w:val="none" w:sz="0" w:space="0" w:color="auto"/>
                                                    <w:bottom w:val="none" w:sz="0" w:space="0" w:color="auto"/>
                                                    <w:right w:val="none" w:sz="0" w:space="0" w:color="auto"/>
                                                  </w:divBdr>
                                                  <w:divsChild>
                                                    <w:div w:id="12734045">
                                                      <w:marLeft w:val="0"/>
                                                      <w:marRight w:val="0"/>
                                                      <w:marTop w:val="0"/>
                                                      <w:marBottom w:val="0"/>
                                                      <w:divBdr>
                                                        <w:top w:val="none" w:sz="0" w:space="0" w:color="auto"/>
                                                        <w:left w:val="none" w:sz="0" w:space="0" w:color="auto"/>
                                                        <w:bottom w:val="none" w:sz="0" w:space="0" w:color="auto"/>
                                                        <w:right w:val="none" w:sz="0" w:space="0" w:color="auto"/>
                                                      </w:divBdr>
                                                      <w:divsChild>
                                                        <w:div w:id="12734037">
                                                          <w:marLeft w:val="0"/>
                                                          <w:marRight w:val="0"/>
                                                          <w:marTop w:val="0"/>
                                                          <w:marBottom w:val="0"/>
                                                          <w:divBdr>
                                                            <w:top w:val="none" w:sz="0" w:space="0" w:color="auto"/>
                                                            <w:left w:val="none" w:sz="0" w:space="0" w:color="auto"/>
                                                            <w:bottom w:val="none" w:sz="0" w:space="0" w:color="auto"/>
                                                            <w:right w:val="none" w:sz="0" w:space="0" w:color="auto"/>
                                                          </w:divBdr>
                                                        </w:div>
                                                        <w:div w:id="12734093">
                                                          <w:marLeft w:val="0"/>
                                                          <w:marRight w:val="0"/>
                                                          <w:marTop w:val="0"/>
                                                          <w:marBottom w:val="0"/>
                                                          <w:divBdr>
                                                            <w:top w:val="none" w:sz="0" w:space="0" w:color="auto"/>
                                                            <w:left w:val="none" w:sz="0" w:space="0" w:color="auto"/>
                                                            <w:bottom w:val="none" w:sz="0" w:space="0" w:color="auto"/>
                                                            <w:right w:val="none" w:sz="0" w:space="0" w:color="auto"/>
                                                          </w:divBdr>
                                                        </w:div>
                                                      </w:divsChild>
                                                    </w:div>
                                                    <w:div w:id="12734091">
                                                      <w:marLeft w:val="0"/>
                                                      <w:marRight w:val="0"/>
                                                      <w:marTop w:val="90"/>
                                                      <w:marBottom w:val="90"/>
                                                      <w:divBdr>
                                                        <w:top w:val="none" w:sz="0" w:space="4" w:color="F0C36D"/>
                                                        <w:left w:val="none" w:sz="0" w:space="4" w:color="F0C36D"/>
                                                        <w:bottom w:val="none" w:sz="0" w:space="4" w:color="F0C36D"/>
                                                        <w:right w:val="none" w:sz="0" w:space="4" w:color="F0C36D"/>
                                                      </w:divBdr>
                                                      <w:divsChild>
                                                        <w:div w:id="1273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4077">
                                  <w:marLeft w:val="0"/>
                                  <w:marRight w:val="0"/>
                                  <w:marTop w:val="180"/>
                                  <w:marBottom w:val="0"/>
                                  <w:divBdr>
                                    <w:top w:val="none" w:sz="0" w:space="0" w:color="auto"/>
                                    <w:left w:val="none" w:sz="0" w:space="0" w:color="auto"/>
                                    <w:bottom w:val="none" w:sz="0" w:space="0" w:color="auto"/>
                                    <w:right w:val="none" w:sz="0" w:space="0" w:color="auto"/>
                                  </w:divBdr>
                                  <w:divsChild>
                                    <w:div w:id="12734028">
                                      <w:marLeft w:val="0"/>
                                      <w:marRight w:val="0"/>
                                      <w:marTop w:val="0"/>
                                      <w:marBottom w:val="0"/>
                                      <w:divBdr>
                                        <w:top w:val="none" w:sz="0" w:space="0" w:color="auto"/>
                                        <w:left w:val="none" w:sz="0" w:space="0" w:color="auto"/>
                                        <w:bottom w:val="none" w:sz="0" w:space="0" w:color="auto"/>
                                        <w:right w:val="none" w:sz="0" w:space="0" w:color="auto"/>
                                      </w:divBdr>
                                      <w:divsChild>
                                        <w:div w:id="12734029">
                                          <w:marLeft w:val="0"/>
                                          <w:marRight w:val="0"/>
                                          <w:marTop w:val="0"/>
                                          <w:marBottom w:val="0"/>
                                          <w:divBdr>
                                            <w:top w:val="none" w:sz="0" w:space="0" w:color="auto"/>
                                            <w:left w:val="none" w:sz="0" w:space="0" w:color="auto"/>
                                            <w:bottom w:val="none" w:sz="0" w:space="0" w:color="auto"/>
                                            <w:right w:val="none" w:sz="0" w:space="0" w:color="auto"/>
                                          </w:divBdr>
                                          <w:divsChild>
                                            <w:div w:id="12734044">
                                              <w:marLeft w:val="0"/>
                                              <w:marRight w:val="0"/>
                                              <w:marTop w:val="0"/>
                                              <w:marBottom w:val="0"/>
                                              <w:divBdr>
                                                <w:top w:val="none" w:sz="0" w:space="0" w:color="auto"/>
                                                <w:left w:val="none" w:sz="0" w:space="0" w:color="auto"/>
                                                <w:bottom w:val="none" w:sz="0" w:space="0" w:color="auto"/>
                                                <w:right w:val="none" w:sz="0" w:space="0" w:color="auto"/>
                                              </w:divBdr>
                                              <w:divsChild>
                                                <w:div w:id="12734088">
                                                  <w:marLeft w:val="0"/>
                                                  <w:marRight w:val="0"/>
                                                  <w:marTop w:val="0"/>
                                                  <w:marBottom w:val="240"/>
                                                  <w:divBdr>
                                                    <w:top w:val="none" w:sz="0" w:space="0" w:color="auto"/>
                                                    <w:left w:val="none" w:sz="0" w:space="0" w:color="auto"/>
                                                    <w:bottom w:val="none" w:sz="0" w:space="0" w:color="auto"/>
                                                    <w:right w:val="none" w:sz="0" w:space="0" w:color="auto"/>
                                                  </w:divBdr>
                                                  <w:divsChild>
                                                    <w:div w:id="12734036">
                                                      <w:marLeft w:val="0"/>
                                                      <w:marRight w:val="0"/>
                                                      <w:marTop w:val="0"/>
                                                      <w:marBottom w:val="0"/>
                                                      <w:divBdr>
                                                        <w:top w:val="none" w:sz="0" w:space="0" w:color="auto"/>
                                                        <w:left w:val="none" w:sz="0" w:space="0" w:color="auto"/>
                                                        <w:bottom w:val="none" w:sz="0" w:space="0" w:color="auto"/>
                                                        <w:right w:val="none" w:sz="0" w:space="0" w:color="auto"/>
                                                      </w:divBdr>
                                                      <w:divsChild>
                                                        <w:div w:id="12734105">
                                                          <w:marLeft w:val="0"/>
                                                          <w:marRight w:val="0"/>
                                                          <w:marTop w:val="0"/>
                                                          <w:marBottom w:val="0"/>
                                                          <w:divBdr>
                                                            <w:top w:val="none" w:sz="0" w:space="0" w:color="auto"/>
                                                            <w:left w:val="none" w:sz="0" w:space="0" w:color="auto"/>
                                                            <w:bottom w:val="none" w:sz="0" w:space="0" w:color="auto"/>
                                                            <w:right w:val="none" w:sz="0" w:space="0" w:color="auto"/>
                                                          </w:divBdr>
                                                        </w:div>
                                                      </w:divsChild>
                                                    </w:div>
                                                    <w:div w:id="12734102">
                                                      <w:marLeft w:val="0"/>
                                                      <w:marRight w:val="0"/>
                                                      <w:marTop w:val="0"/>
                                                      <w:marBottom w:val="0"/>
                                                      <w:divBdr>
                                                        <w:top w:val="none" w:sz="0" w:space="0" w:color="auto"/>
                                                        <w:left w:val="none" w:sz="0" w:space="0" w:color="auto"/>
                                                        <w:bottom w:val="none" w:sz="0" w:space="0" w:color="auto"/>
                                                        <w:right w:val="none" w:sz="0" w:space="0" w:color="auto"/>
                                                      </w:divBdr>
                                                      <w:divsChild>
                                                        <w:div w:id="12734049">
                                                          <w:marLeft w:val="0"/>
                                                          <w:marRight w:val="0"/>
                                                          <w:marTop w:val="0"/>
                                                          <w:marBottom w:val="0"/>
                                                          <w:divBdr>
                                                            <w:top w:val="none" w:sz="0" w:space="0" w:color="auto"/>
                                                            <w:left w:val="none" w:sz="0" w:space="0" w:color="auto"/>
                                                            <w:bottom w:val="none" w:sz="0" w:space="0" w:color="auto"/>
                                                            <w:right w:val="none" w:sz="0" w:space="0" w:color="auto"/>
                                                          </w:divBdr>
                                                        </w:div>
                                                        <w:div w:id="12734058">
                                                          <w:marLeft w:val="0"/>
                                                          <w:marRight w:val="0"/>
                                                          <w:marTop w:val="0"/>
                                                          <w:marBottom w:val="0"/>
                                                          <w:divBdr>
                                                            <w:top w:val="none" w:sz="0" w:space="0" w:color="auto"/>
                                                            <w:left w:val="none" w:sz="0" w:space="0" w:color="auto"/>
                                                            <w:bottom w:val="none" w:sz="0" w:space="0" w:color="auto"/>
                                                            <w:right w:val="none" w:sz="0" w:space="0" w:color="auto"/>
                                                          </w:divBdr>
                                                        </w:div>
                                                        <w:div w:id="12734064">
                                                          <w:marLeft w:val="0"/>
                                                          <w:marRight w:val="0"/>
                                                          <w:marTop w:val="0"/>
                                                          <w:marBottom w:val="0"/>
                                                          <w:divBdr>
                                                            <w:top w:val="none" w:sz="0" w:space="0" w:color="auto"/>
                                                            <w:left w:val="none" w:sz="0" w:space="0" w:color="auto"/>
                                                            <w:bottom w:val="none" w:sz="0" w:space="0" w:color="auto"/>
                                                            <w:right w:val="none" w:sz="0" w:space="0" w:color="auto"/>
                                                          </w:divBdr>
                                                        </w:div>
                                                        <w:div w:id="12734069">
                                                          <w:marLeft w:val="0"/>
                                                          <w:marRight w:val="0"/>
                                                          <w:marTop w:val="0"/>
                                                          <w:marBottom w:val="0"/>
                                                          <w:divBdr>
                                                            <w:top w:val="none" w:sz="0" w:space="0" w:color="auto"/>
                                                            <w:left w:val="none" w:sz="0" w:space="0" w:color="auto"/>
                                                            <w:bottom w:val="none" w:sz="0" w:space="0" w:color="auto"/>
                                                            <w:right w:val="none" w:sz="0" w:space="0" w:color="auto"/>
                                                          </w:divBdr>
                                                        </w:div>
                                                        <w:div w:id="12734073">
                                                          <w:marLeft w:val="0"/>
                                                          <w:marRight w:val="0"/>
                                                          <w:marTop w:val="0"/>
                                                          <w:marBottom w:val="0"/>
                                                          <w:divBdr>
                                                            <w:top w:val="none" w:sz="0" w:space="0" w:color="auto"/>
                                                            <w:left w:val="none" w:sz="0" w:space="0" w:color="auto"/>
                                                            <w:bottom w:val="none" w:sz="0" w:space="0" w:color="auto"/>
                                                            <w:right w:val="none" w:sz="0" w:space="0" w:color="auto"/>
                                                          </w:divBdr>
                                                        </w:div>
                                                        <w:div w:id="12734079">
                                                          <w:marLeft w:val="0"/>
                                                          <w:marRight w:val="0"/>
                                                          <w:marTop w:val="0"/>
                                                          <w:marBottom w:val="0"/>
                                                          <w:divBdr>
                                                            <w:top w:val="none" w:sz="0" w:space="0" w:color="auto"/>
                                                            <w:left w:val="none" w:sz="0" w:space="0" w:color="auto"/>
                                                            <w:bottom w:val="none" w:sz="0" w:space="0" w:color="auto"/>
                                                            <w:right w:val="none" w:sz="0" w:space="0" w:color="auto"/>
                                                          </w:divBdr>
                                                        </w:div>
                                                        <w:div w:id="12734080">
                                                          <w:marLeft w:val="0"/>
                                                          <w:marRight w:val="0"/>
                                                          <w:marTop w:val="0"/>
                                                          <w:marBottom w:val="0"/>
                                                          <w:divBdr>
                                                            <w:top w:val="none" w:sz="0" w:space="0" w:color="auto"/>
                                                            <w:left w:val="none" w:sz="0" w:space="0" w:color="auto"/>
                                                            <w:bottom w:val="none" w:sz="0" w:space="0" w:color="auto"/>
                                                            <w:right w:val="none" w:sz="0" w:space="0" w:color="auto"/>
                                                          </w:divBdr>
                                                        </w:div>
                                                        <w:div w:id="127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089">
                                          <w:marLeft w:val="0"/>
                                          <w:marRight w:val="0"/>
                                          <w:marTop w:val="0"/>
                                          <w:marBottom w:val="0"/>
                                          <w:divBdr>
                                            <w:top w:val="none" w:sz="0" w:space="0" w:color="auto"/>
                                            <w:left w:val="none" w:sz="0" w:space="0" w:color="auto"/>
                                            <w:bottom w:val="none" w:sz="0" w:space="0" w:color="auto"/>
                                            <w:right w:val="none" w:sz="0" w:space="0" w:color="auto"/>
                                          </w:divBdr>
                                          <w:divsChild>
                                            <w:div w:id="12734100">
                                              <w:marLeft w:val="0"/>
                                              <w:marRight w:val="0"/>
                                              <w:marTop w:val="0"/>
                                              <w:marBottom w:val="0"/>
                                              <w:divBdr>
                                                <w:top w:val="none" w:sz="0" w:space="0" w:color="auto"/>
                                                <w:left w:val="none" w:sz="0" w:space="0" w:color="auto"/>
                                                <w:bottom w:val="none" w:sz="0" w:space="0" w:color="auto"/>
                                                <w:right w:val="none" w:sz="0" w:space="0" w:color="auto"/>
                                              </w:divBdr>
                                              <w:divsChild>
                                                <w:div w:id="12734053">
                                                  <w:marLeft w:val="0"/>
                                                  <w:marRight w:val="0"/>
                                                  <w:marTop w:val="0"/>
                                                  <w:marBottom w:val="240"/>
                                                  <w:divBdr>
                                                    <w:top w:val="none" w:sz="0" w:space="0" w:color="auto"/>
                                                    <w:left w:val="none" w:sz="0" w:space="0" w:color="auto"/>
                                                    <w:bottom w:val="none" w:sz="0" w:space="0" w:color="auto"/>
                                                    <w:right w:val="none" w:sz="0" w:space="0" w:color="auto"/>
                                                  </w:divBdr>
                                                  <w:divsChild>
                                                    <w:div w:id="12734033">
                                                      <w:marLeft w:val="0"/>
                                                      <w:marRight w:val="0"/>
                                                      <w:marTop w:val="0"/>
                                                      <w:marBottom w:val="0"/>
                                                      <w:divBdr>
                                                        <w:top w:val="none" w:sz="0" w:space="0" w:color="auto"/>
                                                        <w:left w:val="none" w:sz="0" w:space="0" w:color="auto"/>
                                                        <w:bottom w:val="none" w:sz="0" w:space="0" w:color="auto"/>
                                                        <w:right w:val="none" w:sz="0" w:space="0" w:color="auto"/>
                                                      </w:divBdr>
                                                      <w:divsChild>
                                                        <w:div w:id="12734042">
                                                          <w:marLeft w:val="0"/>
                                                          <w:marRight w:val="0"/>
                                                          <w:marTop w:val="0"/>
                                                          <w:marBottom w:val="0"/>
                                                          <w:divBdr>
                                                            <w:top w:val="none" w:sz="0" w:space="0" w:color="auto"/>
                                                            <w:left w:val="none" w:sz="0" w:space="0" w:color="auto"/>
                                                            <w:bottom w:val="none" w:sz="0" w:space="0" w:color="auto"/>
                                                            <w:right w:val="none" w:sz="0" w:space="0" w:color="auto"/>
                                                          </w:divBdr>
                                                        </w:div>
                                                        <w:div w:id="12734054">
                                                          <w:marLeft w:val="0"/>
                                                          <w:marRight w:val="0"/>
                                                          <w:marTop w:val="0"/>
                                                          <w:marBottom w:val="0"/>
                                                          <w:divBdr>
                                                            <w:top w:val="none" w:sz="0" w:space="0" w:color="auto"/>
                                                            <w:left w:val="none" w:sz="0" w:space="0" w:color="auto"/>
                                                            <w:bottom w:val="none" w:sz="0" w:space="0" w:color="auto"/>
                                                            <w:right w:val="none" w:sz="0" w:space="0" w:color="auto"/>
                                                          </w:divBdr>
                                                        </w:div>
                                                        <w:div w:id="12734055">
                                                          <w:marLeft w:val="0"/>
                                                          <w:marRight w:val="-240"/>
                                                          <w:marTop w:val="0"/>
                                                          <w:marBottom w:val="0"/>
                                                          <w:divBdr>
                                                            <w:top w:val="none" w:sz="0" w:space="0" w:color="auto"/>
                                                            <w:left w:val="none" w:sz="0" w:space="0" w:color="auto"/>
                                                            <w:bottom w:val="none" w:sz="0" w:space="0" w:color="auto"/>
                                                            <w:right w:val="none" w:sz="0" w:space="0" w:color="auto"/>
                                                          </w:divBdr>
                                                          <w:divsChild>
                                                            <w:div w:id="12734076">
                                                              <w:marLeft w:val="240"/>
                                                              <w:marRight w:val="240"/>
                                                              <w:marTop w:val="0"/>
                                                              <w:marBottom w:val="0"/>
                                                              <w:divBdr>
                                                                <w:top w:val="none" w:sz="0" w:space="0" w:color="auto"/>
                                                                <w:left w:val="none" w:sz="0" w:space="0" w:color="auto"/>
                                                                <w:bottom w:val="none" w:sz="0" w:space="0" w:color="auto"/>
                                                                <w:right w:val="none" w:sz="0" w:space="0" w:color="auto"/>
                                                              </w:divBdr>
                                                            </w:div>
                                                          </w:divsChild>
                                                        </w:div>
                                                        <w:div w:id="12734062">
                                                          <w:marLeft w:val="0"/>
                                                          <w:marRight w:val="0"/>
                                                          <w:marTop w:val="0"/>
                                                          <w:marBottom w:val="0"/>
                                                          <w:divBdr>
                                                            <w:top w:val="none" w:sz="0" w:space="0" w:color="auto"/>
                                                            <w:left w:val="none" w:sz="0" w:space="0" w:color="auto"/>
                                                            <w:bottom w:val="none" w:sz="0" w:space="0" w:color="auto"/>
                                                            <w:right w:val="none" w:sz="0" w:space="0" w:color="auto"/>
                                                          </w:divBdr>
                                                        </w:div>
                                                        <w:div w:id="12734066">
                                                          <w:marLeft w:val="0"/>
                                                          <w:marRight w:val="0"/>
                                                          <w:marTop w:val="0"/>
                                                          <w:marBottom w:val="0"/>
                                                          <w:divBdr>
                                                            <w:top w:val="none" w:sz="0" w:space="0" w:color="auto"/>
                                                            <w:left w:val="none" w:sz="0" w:space="0" w:color="auto"/>
                                                            <w:bottom w:val="none" w:sz="0" w:space="0" w:color="auto"/>
                                                            <w:right w:val="none" w:sz="0" w:space="0" w:color="auto"/>
                                                          </w:divBdr>
                                                        </w:div>
                                                        <w:div w:id="12734084">
                                                          <w:marLeft w:val="0"/>
                                                          <w:marRight w:val="0"/>
                                                          <w:marTop w:val="0"/>
                                                          <w:marBottom w:val="0"/>
                                                          <w:divBdr>
                                                            <w:top w:val="none" w:sz="0" w:space="0" w:color="auto"/>
                                                            <w:left w:val="none" w:sz="0" w:space="0" w:color="auto"/>
                                                            <w:bottom w:val="none" w:sz="0" w:space="0" w:color="auto"/>
                                                            <w:right w:val="none" w:sz="0" w:space="0" w:color="auto"/>
                                                          </w:divBdr>
                                                        </w:div>
                                                        <w:div w:id="12734085">
                                                          <w:marLeft w:val="0"/>
                                                          <w:marRight w:val="0"/>
                                                          <w:marTop w:val="0"/>
                                                          <w:marBottom w:val="0"/>
                                                          <w:divBdr>
                                                            <w:top w:val="none" w:sz="0" w:space="0" w:color="auto"/>
                                                            <w:left w:val="none" w:sz="0" w:space="0" w:color="auto"/>
                                                            <w:bottom w:val="none" w:sz="0" w:space="0" w:color="auto"/>
                                                            <w:right w:val="none" w:sz="0" w:space="0" w:color="auto"/>
                                                          </w:divBdr>
                                                        </w:div>
                                                        <w:div w:id="12734096">
                                                          <w:marLeft w:val="0"/>
                                                          <w:marRight w:val="0"/>
                                                          <w:marTop w:val="0"/>
                                                          <w:marBottom w:val="0"/>
                                                          <w:divBdr>
                                                            <w:top w:val="none" w:sz="0" w:space="0" w:color="auto"/>
                                                            <w:left w:val="none" w:sz="0" w:space="0" w:color="auto"/>
                                                            <w:bottom w:val="none" w:sz="0" w:space="0" w:color="auto"/>
                                                            <w:right w:val="none" w:sz="0" w:space="0" w:color="auto"/>
                                                          </w:divBdr>
                                                        </w:div>
                                                        <w:div w:id="12734107">
                                                          <w:marLeft w:val="0"/>
                                                          <w:marRight w:val="-240"/>
                                                          <w:marTop w:val="0"/>
                                                          <w:marBottom w:val="0"/>
                                                          <w:divBdr>
                                                            <w:top w:val="none" w:sz="0" w:space="0" w:color="auto"/>
                                                            <w:left w:val="none" w:sz="0" w:space="0" w:color="auto"/>
                                                            <w:bottom w:val="none" w:sz="0" w:space="0" w:color="auto"/>
                                                            <w:right w:val="none" w:sz="0" w:space="0" w:color="auto"/>
                                                          </w:divBdr>
                                                          <w:divsChild>
                                                            <w:div w:id="12734046">
                                                              <w:marLeft w:val="240"/>
                                                              <w:marRight w:val="240"/>
                                                              <w:marTop w:val="0"/>
                                                              <w:marBottom w:val="0"/>
                                                              <w:divBdr>
                                                                <w:top w:val="none" w:sz="0" w:space="0" w:color="auto"/>
                                                                <w:left w:val="none" w:sz="0" w:space="0" w:color="auto"/>
                                                                <w:bottom w:val="none" w:sz="0" w:space="0" w:color="auto"/>
                                                                <w:right w:val="none" w:sz="0" w:space="0" w:color="auto"/>
                                                              </w:divBdr>
                                                            </w:div>
                                                          </w:divsChild>
                                                        </w:div>
                                                        <w:div w:id="12734110">
                                                          <w:marLeft w:val="0"/>
                                                          <w:marRight w:val="0"/>
                                                          <w:marTop w:val="0"/>
                                                          <w:marBottom w:val="0"/>
                                                          <w:divBdr>
                                                            <w:top w:val="none" w:sz="0" w:space="0" w:color="auto"/>
                                                            <w:left w:val="none" w:sz="0" w:space="0" w:color="auto"/>
                                                            <w:bottom w:val="none" w:sz="0" w:space="0" w:color="auto"/>
                                                            <w:right w:val="none" w:sz="0" w:space="0" w:color="auto"/>
                                                          </w:divBdr>
                                                        </w:div>
                                                      </w:divsChild>
                                                    </w:div>
                                                    <w:div w:id="12734075">
                                                      <w:marLeft w:val="0"/>
                                                      <w:marRight w:val="0"/>
                                                      <w:marTop w:val="0"/>
                                                      <w:marBottom w:val="0"/>
                                                      <w:divBdr>
                                                        <w:top w:val="none" w:sz="0" w:space="0" w:color="auto"/>
                                                        <w:left w:val="none" w:sz="0" w:space="0" w:color="auto"/>
                                                        <w:bottom w:val="none" w:sz="0" w:space="0" w:color="auto"/>
                                                        <w:right w:val="none" w:sz="0" w:space="0" w:color="auto"/>
                                                      </w:divBdr>
                                                    </w:div>
                                                    <w:div w:id="12734103">
                                                      <w:marLeft w:val="0"/>
                                                      <w:marRight w:val="0"/>
                                                      <w:marTop w:val="0"/>
                                                      <w:marBottom w:val="0"/>
                                                      <w:divBdr>
                                                        <w:top w:val="none" w:sz="0" w:space="0" w:color="auto"/>
                                                        <w:left w:val="none" w:sz="0" w:space="0" w:color="auto"/>
                                                        <w:bottom w:val="none" w:sz="0" w:space="0" w:color="auto"/>
                                                        <w:right w:val="none" w:sz="0" w:space="0" w:color="auto"/>
                                                      </w:divBdr>
                                                      <w:divsChild>
                                                        <w:div w:id="1273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067">
                                                  <w:marLeft w:val="0"/>
                                                  <w:marRight w:val="0"/>
                                                  <w:marTop w:val="0"/>
                                                  <w:marBottom w:val="240"/>
                                                  <w:divBdr>
                                                    <w:top w:val="none" w:sz="0" w:space="0" w:color="auto"/>
                                                    <w:left w:val="none" w:sz="0" w:space="0" w:color="auto"/>
                                                    <w:bottom w:val="none" w:sz="0" w:space="0" w:color="auto"/>
                                                    <w:right w:val="none" w:sz="0" w:space="0" w:color="auto"/>
                                                  </w:divBdr>
                                                  <w:divsChild>
                                                    <w:div w:id="12734065">
                                                      <w:marLeft w:val="0"/>
                                                      <w:marRight w:val="0"/>
                                                      <w:marTop w:val="0"/>
                                                      <w:marBottom w:val="0"/>
                                                      <w:divBdr>
                                                        <w:top w:val="none" w:sz="0" w:space="0" w:color="auto"/>
                                                        <w:left w:val="none" w:sz="0" w:space="0" w:color="auto"/>
                                                        <w:bottom w:val="none" w:sz="0" w:space="0" w:color="auto"/>
                                                        <w:right w:val="none" w:sz="0" w:space="0" w:color="auto"/>
                                                      </w:divBdr>
                                                      <w:divsChild>
                                                        <w:div w:id="12734040">
                                                          <w:marLeft w:val="0"/>
                                                          <w:marRight w:val="0"/>
                                                          <w:marTop w:val="0"/>
                                                          <w:marBottom w:val="0"/>
                                                          <w:divBdr>
                                                            <w:top w:val="none" w:sz="0" w:space="0" w:color="auto"/>
                                                            <w:left w:val="none" w:sz="0" w:space="0" w:color="auto"/>
                                                            <w:bottom w:val="none" w:sz="0" w:space="0" w:color="auto"/>
                                                            <w:right w:val="none" w:sz="0" w:space="0" w:color="auto"/>
                                                          </w:divBdr>
                                                        </w:div>
                                                      </w:divsChild>
                                                    </w:div>
                                                    <w:div w:id="12734078">
                                                      <w:marLeft w:val="0"/>
                                                      <w:marRight w:val="0"/>
                                                      <w:marTop w:val="0"/>
                                                      <w:marBottom w:val="0"/>
                                                      <w:divBdr>
                                                        <w:top w:val="none" w:sz="0" w:space="0" w:color="auto"/>
                                                        <w:left w:val="none" w:sz="0" w:space="0" w:color="auto"/>
                                                        <w:bottom w:val="none" w:sz="0" w:space="0" w:color="auto"/>
                                                        <w:right w:val="none" w:sz="0" w:space="0" w:color="auto"/>
                                                      </w:divBdr>
                                                    </w:div>
                                                  </w:divsChild>
                                                </w:div>
                                                <w:div w:id="12734090">
                                                  <w:marLeft w:val="0"/>
                                                  <w:marRight w:val="0"/>
                                                  <w:marTop w:val="0"/>
                                                  <w:marBottom w:val="240"/>
                                                  <w:divBdr>
                                                    <w:top w:val="none" w:sz="0" w:space="0" w:color="auto"/>
                                                    <w:left w:val="none" w:sz="0" w:space="0" w:color="auto"/>
                                                    <w:bottom w:val="none" w:sz="0" w:space="0" w:color="auto"/>
                                                    <w:right w:val="none" w:sz="0" w:space="0" w:color="auto"/>
                                                  </w:divBdr>
                                                  <w:divsChild>
                                                    <w:div w:id="12734032">
                                                      <w:marLeft w:val="0"/>
                                                      <w:marRight w:val="0"/>
                                                      <w:marTop w:val="0"/>
                                                      <w:marBottom w:val="0"/>
                                                      <w:divBdr>
                                                        <w:top w:val="none" w:sz="0" w:space="0" w:color="auto"/>
                                                        <w:left w:val="none" w:sz="0" w:space="0" w:color="auto"/>
                                                        <w:bottom w:val="none" w:sz="0" w:space="0" w:color="auto"/>
                                                        <w:right w:val="none" w:sz="0" w:space="0" w:color="auto"/>
                                                      </w:divBdr>
                                                      <w:divsChild>
                                                        <w:div w:id="12734070">
                                                          <w:marLeft w:val="510"/>
                                                          <w:marRight w:val="300"/>
                                                          <w:marTop w:val="0"/>
                                                          <w:marBottom w:val="0"/>
                                                          <w:divBdr>
                                                            <w:top w:val="none" w:sz="0" w:space="0" w:color="auto"/>
                                                            <w:left w:val="none" w:sz="0" w:space="0" w:color="auto"/>
                                                            <w:bottom w:val="none" w:sz="0" w:space="0" w:color="auto"/>
                                                            <w:right w:val="none" w:sz="0" w:space="0" w:color="auto"/>
                                                          </w:divBdr>
                                                          <w:divsChild>
                                                            <w:div w:id="12734057">
                                                              <w:marLeft w:val="0"/>
                                                              <w:marRight w:val="0"/>
                                                              <w:marTop w:val="0"/>
                                                              <w:marBottom w:val="0"/>
                                                              <w:divBdr>
                                                                <w:top w:val="none" w:sz="0" w:space="0" w:color="auto"/>
                                                                <w:left w:val="none" w:sz="0" w:space="0" w:color="auto"/>
                                                                <w:bottom w:val="none" w:sz="0" w:space="0" w:color="auto"/>
                                                                <w:right w:val="none" w:sz="0" w:space="0" w:color="auto"/>
                                                              </w:divBdr>
                                                              <w:divsChild>
                                                                <w:div w:id="12734027">
                                                                  <w:marLeft w:val="0"/>
                                                                  <w:marRight w:val="0"/>
                                                                  <w:marTop w:val="0"/>
                                                                  <w:marBottom w:val="180"/>
                                                                  <w:divBdr>
                                                                    <w:top w:val="none" w:sz="0" w:space="0" w:color="auto"/>
                                                                    <w:left w:val="none" w:sz="0" w:space="0" w:color="auto"/>
                                                                    <w:bottom w:val="none" w:sz="0" w:space="0" w:color="auto"/>
                                                                    <w:right w:val="none" w:sz="0" w:space="0" w:color="auto"/>
                                                                  </w:divBdr>
                                                                  <w:divsChild>
                                                                    <w:div w:id="12734043">
                                                                      <w:marLeft w:val="0"/>
                                                                      <w:marRight w:val="0"/>
                                                                      <w:marTop w:val="0"/>
                                                                      <w:marBottom w:val="0"/>
                                                                      <w:divBdr>
                                                                        <w:top w:val="none" w:sz="0" w:space="0" w:color="auto"/>
                                                                        <w:left w:val="none" w:sz="0" w:space="0" w:color="auto"/>
                                                                        <w:bottom w:val="none" w:sz="0" w:space="0" w:color="auto"/>
                                                                        <w:right w:val="none" w:sz="0" w:space="0" w:color="auto"/>
                                                                      </w:divBdr>
                                                                    </w:div>
                                                                    <w:div w:id="1273404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2734086">
                                                          <w:marLeft w:val="0"/>
                                                          <w:marRight w:val="0"/>
                                                          <w:marTop w:val="0"/>
                                                          <w:marBottom w:val="0"/>
                                                          <w:divBdr>
                                                            <w:top w:val="none" w:sz="0" w:space="0" w:color="auto"/>
                                                            <w:left w:val="none" w:sz="0" w:space="0" w:color="auto"/>
                                                            <w:bottom w:val="none" w:sz="0" w:space="0" w:color="auto"/>
                                                            <w:right w:val="none" w:sz="0" w:space="0" w:color="auto"/>
                                                          </w:divBdr>
                                                        </w:div>
                                                      </w:divsChild>
                                                    </w:div>
                                                    <w:div w:id="12734060">
                                                      <w:marLeft w:val="0"/>
                                                      <w:marRight w:val="0"/>
                                                      <w:marTop w:val="0"/>
                                                      <w:marBottom w:val="0"/>
                                                      <w:divBdr>
                                                        <w:top w:val="none" w:sz="0" w:space="0" w:color="auto"/>
                                                        <w:left w:val="none" w:sz="0" w:space="0" w:color="auto"/>
                                                        <w:bottom w:val="none" w:sz="0" w:space="0" w:color="auto"/>
                                                        <w:right w:val="none" w:sz="0" w:space="0" w:color="auto"/>
                                                      </w:divBdr>
                                                      <w:divsChild>
                                                        <w:div w:id="12734039">
                                                          <w:marLeft w:val="0"/>
                                                          <w:marRight w:val="0"/>
                                                          <w:marTop w:val="0"/>
                                                          <w:marBottom w:val="0"/>
                                                          <w:divBdr>
                                                            <w:top w:val="none" w:sz="0" w:space="0" w:color="auto"/>
                                                            <w:left w:val="none" w:sz="0" w:space="0" w:color="auto"/>
                                                            <w:bottom w:val="none" w:sz="0" w:space="0" w:color="auto"/>
                                                            <w:right w:val="none" w:sz="0" w:space="0" w:color="auto"/>
                                                          </w:divBdr>
                                                        </w:div>
                                                      </w:divsChild>
                                                    </w:div>
                                                    <w:div w:id="12734063">
                                                      <w:marLeft w:val="0"/>
                                                      <w:marRight w:val="0"/>
                                                      <w:marTop w:val="0"/>
                                                      <w:marBottom w:val="0"/>
                                                      <w:divBdr>
                                                        <w:top w:val="none" w:sz="0" w:space="0" w:color="auto"/>
                                                        <w:left w:val="none" w:sz="0" w:space="0" w:color="auto"/>
                                                        <w:bottom w:val="none" w:sz="0" w:space="0" w:color="auto"/>
                                                        <w:right w:val="none" w:sz="0" w:space="0" w:color="auto"/>
                                                      </w:divBdr>
                                                    </w:div>
                                                  </w:divsChild>
                                                </w:div>
                                                <w:div w:id="12734098">
                                                  <w:marLeft w:val="0"/>
                                                  <w:marRight w:val="0"/>
                                                  <w:marTop w:val="0"/>
                                                  <w:marBottom w:val="240"/>
                                                  <w:divBdr>
                                                    <w:top w:val="none" w:sz="0" w:space="0" w:color="auto"/>
                                                    <w:left w:val="none" w:sz="0" w:space="0" w:color="auto"/>
                                                    <w:bottom w:val="none" w:sz="0" w:space="0" w:color="auto"/>
                                                    <w:right w:val="none" w:sz="0" w:space="0" w:color="auto"/>
                                                  </w:divBdr>
                                                  <w:divsChild>
                                                    <w:div w:id="12734068">
                                                      <w:marLeft w:val="0"/>
                                                      <w:marRight w:val="0"/>
                                                      <w:marTop w:val="0"/>
                                                      <w:marBottom w:val="0"/>
                                                      <w:divBdr>
                                                        <w:top w:val="none" w:sz="0" w:space="0" w:color="auto"/>
                                                        <w:left w:val="none" w:sz="0" w:space="0" w:color="auto"/>
                                                        <w:bottom w:val="none" w:sz="0" w:space="0" w:color="auto"/>
                                                        <w:right w:val="none" w:sz="0" w:space="0" w:color="auto"/>
                                                      </w:divBdr>
                                                    </w:div>
                                                    <w:div w:id="1273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4083">
                              <w:marLeft w:val="0"/>
                              <w:marRight w:val="0"/>
                              <w:marTop w:val="240"/>
                              <w:marBottom w:val="525"/>
                              <w:divBdr>
                                <w:top w:val="none" w:sz="0" w:space="0" w:color="auto"/>
                                <w:left w:val="none" w:sz="0" w:space="0" w:color="auto"/>
                                <w:bottom w:val="none" w:sz="0" w:space="0" w:color="auto"/>
                                <w:right w:val="none" w:sz="0" w:space="0" w:color="auto"/>
                              </w:divBdr>
                              <w:divsChild>
                                <w:div w:id="127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4059">
              <w:marLeft w:val="0"/>
              <w:marRight w:val="0"/>
              <w:marTop w:val="0"/>
              <w:marBottom w:val="0"/>
              <w:divBdr>
                <w:top w:val="single" w:sz="6" w:space="31" w:color="F0C36D"/>
                <w:left w:val="single" w:sz="6" w:space="31" w:color="F0C36D"/>
                <w:bottom w:val="single" w:sz="6" w:space="31" w:color="F0C36D"/>
                <w:right w:val="single" w:sz="6" w:space="31" w:color="F0C36D"/>
              </w:divBdr>
            </w:div>
            <w:div w:id="12734072">
              <w:marLeft w:val="0"/>
              <w:marRight w:val="0"/>
              <w:marTop w:val="0"/>
              <w:marBottom w:val="0"/>
              <w:divBdr>
                <w:top w:val="single" w:sz="6" w:space="31" w:color="F0C36D"/>
                <w:left w:val="single" w:sz="6" w:space="31" w:color="F0C36D"/>
                <w:bottom w:val="single" w:sz="6" w:space="31" w:color="F0C36D"/>
                <w:right w:val="single" w:sz="6" w:space="31" w:color="F0C36D"/>
              </w:divBdr>
            </w:div>
            <w:div w:id="12734082">
              <w:marLeft w:val="0"/>
              <w:marRight w:val="0"/>
              <w:marTop w:val="0"/>
              <w:marBottom w:val="0"/>
              <w:divBdr>
                <w:top w:val="single" w:sz="6" w:space="31" w:color="F0C36D"/>
                <w:left w:val="single" w:sz="6" w:space="31" w:color="F0C36D"/>
                <w:bottom w:val="single" w:sz="6" w:space="31" w:color="F0C36D"/>
                <w:right w:val="single" w:sz="6" w:space="31" w:color="F0C36D"/>
              </w:divBdr>
            </w:div>
            <w:div w:id="12734101">
              <w:marLeft w:val="0"/>
              <w:marRight w:val="0"/>
              <w:marTop w:val="0"/>
              <w:marBottom w:val="0"/>
              <w:divBdr>
                <w:top w:val="single" w:sz="6" w:space="0" w:color="E5E5E5"/>
                <w:left w:val="none" w:sz="0" w:space="0" w:color="auto"/>
                <w:bottom w:val="none" w:sz="0" w:space="0" w:color="auto"/>
                <w:right w:val="none" w:sz="0" w:space="0" w:color="auto"/>
              </w:divBdr>
            </w:div>
            <w:div w:id="1273410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127340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9090</Characters>
  <Application>Microsoft Office Word</Application>
  <DocSecurity>0</DocSecurity>
  <Lines>75</Lines>
  <Paragraphs>19</Paragraphs>
  <ScaleCrop>false</ScaleCrop>
  <Company/>
  <LinksUpToDate>false</LinksUpToDate>
  <CharactersWithSpaces>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zakázaných látek a metod pro rok 2015</dc:title>
  <dc:subject/>
  <dc:creator>Daniela</dc:creator>
  <cp:keywords/>
  <dc:description/>
  <cp:lastModifiedBy>Martin Bakala</cp:lastModifiedBy>
  <cp:revision>2</cp:revision>
  <dcterms:created xsi:type="dcterms:W3CDTF">2014-12-02T11:45:00Z</dcterms:created>
  <dcterms:modified xsi:type="dcterms:W3CDTF">2014-12-02T11:45:00Z</dcterms:modified>
</cp:coreProperties>
</file>